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5CCF3" w14:textId="77777777" w:rsidR="008B5C63" w:rsidRPr="008A725E" w:rsidRDefault="008B5C63" w:rsidP="00184735">
      <w:pPr>
        <w:pStyle w:val="Footer"/>
        <w:tabs>
          <w:tab w:val="clear" w:pos="4680"/>
          <w:tab w:val="clear" w:pos="9360"/>
          <w:tab w:val="left" w:pos="7470"/>
        </w:tabs>
        <w:spacing w:after="120"/>
        <w:ind w:left="4320" w:right="-360"/>
      </w:pPr>
      <w:r>
        <w:rPr>
          <w:rFonts w:ascii="Gill Sans MT" w:hAnsi="Gill Sans MT"/>
          <w:b/>
          <w:noProof/>
          <w:color w:val="7BC14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504ED5D" wp14:editId="1CB09E0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12578" cy="553156"/>
            <wp:effectExtent l="0" t="0" r="0" b="0"/>
            <wp:wrapSquare wrapText="bothSides"/>
            <wp:docPr id="1281264514" name="Picture 1" descr="A grey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264514" name="Picture 1" descr="A grey and black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578" cy="553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25E">
        <w:rPr>
          <w:rFonts w:ascii="Gill Sans MT" w:hAnsi="Gill Sans MT"/>
          <w:b/>
          <w:color w:val="7BC143"/>
          <w:sz w:val="18"/>
          <w:szCs w:val="18"/>
        </w:rPr>
        <w:t>North American Office</w:t>
      </w:r>
      <w:r w:rsidRPr="008A725E">
        <w:rPr>
          <w:rFonts w:ascii="Gill Sans MT" w:hAnsi="Gill Sans MT"/>
          <w:b/>
          <w:color w:val="7BC143"/>
          <w:sz w:val="18"/>
          <w:szCs w:val="18"/>
        </w:rPr>
        <w:tab/>
      </w:r>
      <w:r w:rsidRPr="008A725E">
        <w:rPr>
          <w:rFonts w:ascii="Gill Sans MT" w:hAnsi="Gill Sans MT"/>
          <w:b/>
          <w:bCs/>
          <w:color w:val="7BC143"/>
          <w:sz w:val="18"/>
          <w:szCs w:val="18"/>
        </w:rPr>
        <w:t>European Office</w:t>
      </w:r>
    </w:p>
    <w:p w14:paraId="4B4454BA" w14:textId="77777777" w:rsidR="008B5C63" w:rsidRDefault="008B5C63" w:rsidP="00184735">
      <w:pPr>
        <w:pStyle w:val="Footer"/>
        <w:tabs>
          <w:tab w:val="clear" w:pos="4680"/>
          <w:tab w:val="clear" w:pos="9360"/>
          <w:tab w:val="left" w:pos="7470"/>
        </w:tabs>
        <w:spacing w:after="120"/>
        <w:ind w:left="4320"/>
        <w:rPr>
          <w:rFonts w:ascii="Gill Sans MT" w:hAnsi="Gill Sans MT"/>
          <w:color w:val="58585A"/>
          <w:sz w:val="18"/>
          <w:szCs w:val="18"/>
        </w:rPr>
      </w:pPr>
      <w:r w:rsidRPr="0064297F">
        <w:rPr>
          <w:rFonts w:ascii="Gill Sans MT" w:hAnsi="Gill Sans MT"/>
          <w:color w:val="58585A"/>
          <w:sz w:val="18"/>
          <w:szCs w:val="18"/>
        </w:rPr>
        <w:t xml:space="preserve">2000 Pennsylvania Ave. NW Suite </w:t>
      </w:r>
      <w:r>
        <w:rPr>
          <w:rFonts w:ascii="Gill Sans MT" w:hAnsi="Gill Sans MT"/>
          <w:color w:val="58585A"/>
          <w:sz w:val="18"/>
          <w:szCs w:val="18"/>
        </w:rPr>
        <w:t>4003</w:t>
      </w:r>
      <w:r w:rsidRPr="0064297F">
        <w:rPr>
          <w:rFonts w:ascii="Gill Sans MT" w:hAnsi="Gill Sans MT"/>
          <w:color w:val="58585A"/>
          <w:sz w:val="18"/>
          <w:szCs w:val="18"/>
        </w:rPr>
        <w:t xml:space="preserve"> </w:t>
      </w:r>
      <w:r>
        <w:rPr>
          <w:rFonts w:ascii="Gill Sans MT" w:hAnsi="Gill Sans MT"/>
          <w:color w:val="58585A"/>
          <w:sz w:val="18"/>
          <w:szCs w:val="18"/>
        </w:rPr>
        <w:tab/>
      </w:r>
      <w:r w:rsidRPr="0064297F">
        <w:rPr>
          <w:rFonts w:ascii="Gill Sans MT" w:hAnsi="Gill Sans MT"/>
          <w:color w:val="58585A"/>
          <w:sz w:val="18"/>
          <w:szCs w:val="18"/>
        </w:rPr>
        <w:t>Ebersstra</w:t>
      </w:r>
      <w:r w:rsidRPr="0064297F">
        <w:rPr>
          <w:rFonts w:ascii="Gill Sans MT" w:hAnsi="Gill Sans MT" w:cs="Roboto"/>
          <w:color w:val="58585A"/>
          <w:sz w:val="18"/>
          <w:szCs w:val="18"/>
        </w:rPr>
        <w:t>ß</w:t>
      </w:r>
      <w:r w:rsidRPr="0064297F">
        <w:rPr>
          <w:rFonts w:ascii="Gill Sans MT" w:hAnsi="Gill Sans MT"/>
          <w:color w:val="58585A"/>
          <w:sz w:val="18"/>
          <w:szCs w:val="18"/>
        </w:rPr>
        <w:t>e 63</w:t>
      </w:r>
    </w:p>
    <w:p w14:paraId="1773443B" w14:textId="77777777" w:rsidR="008B5C63" w:rsidRDefault="008B5C63" w:rsidP="00184735">
      <w:pPr>
        <w:pStyle w:val="Footer"/>
        <w:tabs>
          <w:tab w:val="clear" w:pos="4680"/>
          <w:tab w:val="clear" w:pos="9360"/>
          <w:tab w:val="left" w:pos="7470"/>
        </w:tabs>
        <w:spacing w:after="120"/>
        <w:ind w:left="4320"/>
        <w:rPr>
          <w:rFonts w:ascii="Gill Sans MT" w:hAnsi="Gill Sans MT"/>
          <w:color w:val="58585A"/>
          <w:sz w:val="18"/>
          <w:szCs w:val="18"/>
        </w:rPr>
      </w:pPr>
      <w:r w:rsidRPr="0064297F">
        <w:rPr>
          <w:rFonts w:ascii="Gill Sans MT" w:hAnsi="Gill Sans MT"/>
          <w:color w:val="58585A"/>
          <w:sz w:val="18"/>
          <w:szCs w:val="18"/>
        </w:rPr>
        <w:t>Washington, DC 20006</w:t>
      </w:r>
      <w:r>
        <w:rPr>
          <w:rFonts w:ascii="Gill Sans MT" w:hAnsi="Gill Sans MT"/>
          <w:color w:val="58585A"/>
          <w:sz w:val="18"/>
          <w:szCs w:val="18"/>
        </w:rPr>
        <w:tab/>
      </w:r>
      <w:r w:rsidRPr="0064297F">
        <w:rPr>
          <w:rFonts w:ascii="Gill Sans MT" w:hAnsi="Gill Sans MT"/>
          <w:color w:val="58585A"/>
          <w:sz w:val="18"/>
          <w:szCs w:val="18"/>
        </w:rPr>
        <w:t>Berlin, Germany 10827</w:t>
      </w:r>
    </w:p>
    <w:p w14:paraId="3C0D4B0C" w14:textId="77777777" w:rsidR="008B5C63" w:rsidRDefault="008B5C63" w:rsidP="00184735">
      <w:pPr>
        <w:pStyle w:val="Footer"/>
        <w:tabs>
          <w:tab w:val="clear" w:pos="4680"/>
          <w:tab w:val="clear" w:pos="9360"/>
          <w:tab w:val="left" w:pos="7470"/>
        </w:tabs>
        <w:spacing w:after="120"/>
        <w:ind w:left="4320" w:right="-90"/>
        <w:rPr>
          <w:rFonts w:ascii="Gill Sans MT" w:hAnsi="Gill Sans MT"/>
          <w:color w:val="58585A"/>
          <w:sz w:val="18"/>
          <w:szCs w:val="18"/>
        </w:rPr>
      </w:pPr>
      <w:r w:rsidRPr="0064297F">
        <w:rPr>
          <w:rFonts w:ascii="Gill Sans MT" w:hAnsi="Gill Sans MT"/>
          <w:b/>
          <w:color w:val="58585A"/>
          <w:sz w:val="18"/>
          <w:szCs w:val="18"/>
        </w:rPr>
        <w:t>Phone</w:t>
      </w:r>
      <w:r w:rsidRPr="0064297F">
        <w:rPr>
          <w:rFonts w:ascii="Gill Sans MT" w:hAnsi="Gill Sans MT"/>
          <w:color w:val="58585A"/>
          <w:sz w:val="18"/>
          <w:szCs w:val="18"/>
        </w:rPr>
        <w:t xml:space="preserve"> +1 </w:t>
      </w:r>
      <w:r w:rsidRPr="00155BE3">
        <w:rPr>
          <w:rFonts w:ascii="Gill Sans MT" w:hAnsi="Gill Sans MT"/>
          <w:color w:val="58585A"/>
          <w:sz w:val="18"/>
          <w:szCs w:val="18"/>
        </w:rPr>
        <w:t>202.489.7867</w:t>
      </w:r>
      <w:r>
        <w:rPr>
          <w:rFonts w:ascii="Gill Sans MT" w:hAnsi="Gill Sans MT"/>
          <w:color w:val="58585A"/>
          <w:sz w:val="18"/>
          <w:szCs w:val="18"/>
        </w:rPr>
        <w:tab/>
      </w:r>
      <w:r w:rsidRPr="0064297F">
        <w:rPr>
          <w:rFonts w:ascii="Gill Sans MT" w:hAnsi="Gill Sans MT"/>
          <w:b/>
          <w:color w:val="58585A"/>
          <w:sz w:val="18"/>
          <w:szCs w:val="18"/>
        </w:rPr>
        <w:t>Phone</w:t>
      </w:r>
      <w:r w:rsidRPr="0064297F">
        <w:rPr>
          <w:rFonts w:ascii="Gill Sans MT" w:hAnsi="Gill Sans MT"/>
          <w:color w:val="58585A"/>
          <w:sz w:val="18"/>
          <w:szCs w:val="18"/>
        </w:rPr>
        <w:t xml:space="preserve"> +49 160 91948402 </w:t>
      </w:r>
    </w:p>
    <w:p w14:paraId="798C7BC9" w14:textId="77777777" w:rsidR="008B5C63" w:rsidRPr="00582EB9" w:rsidRDefault="008B5C63" w:rsidP="00184735">
      <w:pPr>
        <w:spacing w:after="120"/>
        <w:rPr>
          <w:rFonts w:ascii="Gill Sans MT" w:eastAsia="Times New Roman" w:hAnsi="Gill Sans MT" w:cs="Times New Roman"/>
          <w:b/>
          <w:bCs/>
          <w:kern w:val="0"/>
          <w:sz w:val="24"/>
          <w:szCs w:val="24"/>
          <w14:ligatures w14:val="none"/>
        </w:rPr>
      </w:pPr>
    </w:p>
    <w:p w14:paraId="47160BCA" w14:textId="0B9855BA" w:rsidR="003C682A" w:rsidRDefault="003C682A" w:rsidP="00184735">
      <w:pPr>
        <w:spacing w:after="120"/>
        <w:rPr>
          <w:rFonts w:ascii="Gill Sans MT" w:hAnsi="Gill Sans MT"/>
          <w:b/>
          <w:bCs/>
          <w:sz w:val="28"/>
          <w:szCs w:val="28"/>
        </w:rPr>
      </w:pPr>
      <w:r w:rsidRPr="00F63F25">
        <w:rPr>
          <w:rFonts w:ascii="Gill Sans MT" w:eastAsia="Times New Roman" w:hAnsi="Gill Sans MT" w:cs="Times New Roman"/>
          <w:b/>
          <w:bCs/>
          <w:kern w:val="0"/>
          <w:sz w:val="28"/>
          <w:szCs w:val="28"/>
          <w14:ligatures w14:val="none"/>
        </w:rPr>
        <w:t xml:space="preserve">Regulated </w:t>
      </w:r>
      <w:r>
        <w:rPr>
          <w:rFonts w:ascii="Gill Sans MT" w:eastAsia="Times New Roman" w:hAnsi="Gill Sans MT" w:cs="Times New Roman"/>
          <w:b/>
          <w:bCs/>
          <w:kern w:val="0"/>
          <w:sz w:val="28"/>
          <w:szCs w:val="28"/>
          <w14:ligatures w14:val="none"/>
        </w:rPr>
        <w:t>Medical</w:t>
      </w:r>
      <w:r w:rsidRPr="00F63F25">
        <w:rPr>
          <w:rFonts w:ascii="Gill Sans MT" w:eastAsia="Times New Roman" w:hAnsi="Gill Sans MT" w:cs="Times New Roman"/>
          <w:b/>
          <w:bCs/>
          <w:kern w:val="0"/>
          <w:sz w:val="28"/>
          <w:szCs w:val="28"/>
          <w14:ligatures w14:val="none"/>
        </w:rPr>
        <w:t xml:space="preserve"> Device </w:t>
      </w:r>
      <w:r w:rsidRPr="00F63F25">
        <w:rPr>
          <w:rFonts w:ascii="Gill Sans MT" w:hAnsi="Gill Sans MT"/>
          <w:b/>
          <w:bCs/>
          <w:sz w:val="28"/>
          <w:szCs w:val="28"/>
        </w:rPr>
        <w:t>Reprocessing</w:t>
      </w:r>
      <w:r w:rsidR="003F315C">
        <w:rPr>
          <w:rFonts w:ascii="Gill Sans MT" w:hAnsi="Gill Sans MT"/>
          <w:b/>
          <w:bCs/>
          <w:sz w:val="28"/>
          <w:szCs w:val="28"/>
        </w:rPr>
        <w:t xml:space="preserve"> </w:t>
      </w:r>
      <w:r w:rsidRPr="00F63F25">
        <w:rPr>
          <w:rFonts w:ascii="Gill Sans MT" w:hAnsi="Gill Sans MT"/>
          <w:b/>
          <w:bCs/>
          <w:sz w:val="28"/>
          <w:szCs w:val="28"/>
        </w:rPr>
        <w:t>and Fair</w:t>
      </w:r>
      <w:r w:rsidR="003F315C">
        <w:rPr>
          <w:rFonts w:ascii="Gill Sans MT" w:hAnsi="Gill Sans MT"/>
          <w:b/>
          <w:bCs/>
          <w:sz w:val="28"/>
          <w:szCs w:val="28"/>
        </w:rPr>
        <w:t xml:space="preserve"> Contracting</w:t>
      </w:r>
      <w:r w:rsidRPr="00F63F25">
        <w:rPr>
          <w:rFonts w:ascii="Gill Sans MT" w:hAnsi="Gill Sans MT"/>
          <w:b/>
          <w:bCs/>
          <w:sz w:val="28"/>
          <w:szCs w:val="28"/>
        </w:rPr>
        <w:t xml:space="preserve"> Policy</w:t>
      </w:r>
    </w:p>
    <w:p w14:paraId="2555FF49" w14:textId="22CE836F" w:rsidR="006C15F6" w:rsidRPr="004F0119" w:rsidRDefault="006C15F6" w:rsidP="00184735">
      <w:pPr>
        <w:spacing w:after="120"/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</w:pPr>
      <w:r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Using regulated, commercially reprocessed “single-use” devices (SUDs) is one of the most impactful single actions a health system can take to reduce costs</w:t>
      </w:r>
      <w:r w:rsidR="0050198E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,</w:t>
      </w:r>
      <w:r w:rsid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 </w:t>
      </w:r>
      <w:r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greenhouse gas emissions</w:t>
      </w:r>
      <w:r w:rsidR="005D0434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, and vulnerability</w:t>
      </w:r>
      <w:r w:rsid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 </w:t>
      </w:r>
      <w:r w:rsidR="005D0434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in</w:t>
      </w:r>
      <w:r w:rsid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 </w:t>
      </w:r>
      <w:r w:rsidR="00517877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its </w:t>
      </w:r>
      <w:r w:rsid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supply chain</w:t>
      </w:r>
      <w:r w:rsidR="005D0434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.</w:t>
      </w:r>
    </w:p>
    <w:p w14:paraId="5E86DD88" w14:textId="7A992F95" w:rsidR="006C15F6" w:rsidRPr="004F0119" w:rsidRDefault="006C15F6" w:rsidP="00184735">
      <w:pPr>
        <w:spacing w:after="120"/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</w:pPr>
      <w:r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Yet, even though over 9,000 hospitals worldwide </w:t>
      </w:r>
      <w:r w:rsidR="004F0119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enjoy the benefits of </w:t>
      </w:r>
      <w:r w:rsidR="005D0434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reprocessing,</w:t>
      </w:r>
      <w:r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 many do not yet have official policies supporting </w:t>
      </w:r>
      <w:r w:rsidR="008846AC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their hospital’s right to use of reprocessed devices</w:t>
      </w:r>
      <w:r w:rsidR="005D0434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. </w:t>
      </w:r>
      <w:r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This is </w:t>
      </w:r>
      <w:r w:rsidR="005D0434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necessary</w:t>
      </w:r>
      <w:r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, </w:t>
      </w:r>
      <w:r w:rsidR="005D0434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as some device vendors deploy contractual and technical practices </w:t>
      </w:r>
      <w:r w:rsidR="008846AC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that serve no other purpose than t</w:t>
      </w:r>
      <w:r w:rsidR="005D0434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o restrict hospitals from using reprocessed devices. In the U.S., a federal court has found some such practices to be </w:t>
      </w:r>
      <w:hyperlink r:id="rId9" w:history="1">
        <w:r w:rsidR="005D0434" w:rsidRPr="008846AC">
          <w:rPr>
            <w:rStyle w:val="Hyperlink"/>
            <w:rFonts w:ascii="Gill Sans MT" w:eastAsia="Times New Roman" w:hAnsi="Gill Sans MT" w:cs="Times New Roman"/>
            <w:kern w:val="0"/>
            <w:sz w:val="24"/>
            <w:szCs w:val="24"/>
            <w14:ligatures w14:val="none"/>
          </w:rPr>
          <w:t>illegal</w:t>
        </w:r>
      </w:hyperlink>
      <w:r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.</w:t>
      </w:r>
    </w:p>
    <w:p w14:paraId="402EAAE7" w14:textId="07FD3922" w:rsidR="003C682A" w:rsidRPr="003C682A" w:rsidRDefault="008846AC" w:rsidP="00184735">
      <w:pPr>
        <w:spacing w:after="120"/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</w:pPr>
      <w:r>
        <w:rPr>
          <w:rFonts w:ascii="Gill Sans MT" w:eastAsia="Times New Roman" w:hAnsi="Gill Sans MT" w:cs="Times New Roman"/>
          <w:b/>
          <w:bCs/>
          <w:kern w:val="0"/>
          <w:sz w:val="24"/>
          <w:szCs w:val="24"/>
          <w14:ligatures w14:val="none"/>
        </w:rPr>
        <w:t>AMDR has created the</w:t>
      </w:r>
      <w:r w:rsidRPr="005D0434">
        <w:rPr>
          <w:rFonts w:ascii="Gill Sans MT" w:eastAsia="Times New Roman" w:hAnsi="Gill Sans MT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5D0434" w:rsidRPr="005D0434">
        <w:rPr>
          <w:rFonts w:ascii="Gill Sans MT" w:eastAsia="Times New Roman" w:hAnsi="Gill Sans MT" w:cs="Times New Roman"/>
          <w:b/>
          <w:bCs/>
          <w:kern w:val="0"/>
          <w:sz w:val="24"/>
          <w:szCs w:val="24"/>
          <w14:ligatures w14:val="none"/>
        </w:rPr>
        <w:t xml:space="preserve">attached </w:t>
      </w:r>
      <w:r>
        <w:rPr>
          <w:rFonts w:ascii="Gill Sans MT" w:eastAsia="Times New Roman" w:hAnsi="Gill Sans MT" w:cs="Times New Roman"/>
          <w:b/>
          <w:bCs/>
          <w:kern w:val="0"/>
          <w:sz w:val="24"/>
          <w:szCs w:val="24"/>
          <w14:ligatures w14:val="none"/>
        </w:rPr>
        <w:t xml:space="preserve">“Right to Reprocess” </w:t>
      </w:r>
      <w:r w:rsidR="005D0434" w:rsidRPr="005D0434">
        <w:rPr>
          <w:rFonts w:ascii="Gill Sans MT" w:eastAsia="Times New Roman" w:hAnsi="Gill Sans MT" w:cs="Times New Roman"/>
          <w:b/>
          <w:bCs/>
          <w:kern w:val="0"/>
          <w:sz w:val="24"/>
          <w:szCs w:val="24"/>
          <w14:ligatures w14:val="none"/>
        </w:rPr>
        <w:t>template</w:t>
      </w:r>
      <w:r w:rsidR="003C682A"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 to help </w:t>
      </w:r>
      <w:r w:rsidR="006C15F6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health</w:t>
      </w:r>
      <w:r w:rsidR="00582EB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care </w:t>
      </w:r>
      <w:r w:rsidR="006C15F6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leaders </w:t>
      </w:r>
      <w:r w:rsidR="003C682A"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formalize their commitment to using </w:t>
      </w:r>
      <w:r w:rsidR="006C15F6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reprocessed SUDs</w:t>
      </w:r>
      <w:r w:rsidR="003C682A"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. It combines three objectives—cost savings, sustainability, and protection against anti-competitive practices—into one policy you can adopt system-wide and reference in every </w:t>
      </w:r>
      <w:r w:rsidR="006C15F6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contract and </w:t>
      </w:r>
      <w:r w:rsidR="003C682A"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purchasing decision.</w:t>
      </w:r>
    </w:p>
    <w:p w14:paraId="595F3316" w14:textId="612EA32B" w:rsidR="003C682A" w:rsidRPr="003C682A" w:rsidRDefault="003C682A" w:rsidP="00184735">
      <w:pPr>
        <w:spacing w:after="120"/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</w:pPr>
      <w:r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How to use it</w:t>
      </w:r>
      <w:r w:rsidR="008B5C63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:</w:t>
      </w:r>
    </w:p>
    <w:p w14:paraId="345DAC3E" w14:textId="6CAF41ED" w:rsidR="004F0119" w:rsidRPr="004F0119" w:rsidRDefault="004F0119" w:rsidP="00184735">
      <w:pPr>
        <w:numPr>
          <w:ilvl w:val="0"/>
          <w:numId w:val="20"/>
        </w:numPr>
        <w:spacing w:after="120"/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</w:pPr>
      <w:r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D</w:t>
      </w:r>
      <w:r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elete this cover page before final publication or distribution.</w:t>
      </w:r>
    </w:p>
    <w:p w14:paraId="3437C4A9" w14:textId="40C13597" w:rsidR="003C682A" w:rsidRPr="003C682A" w:rsidRDefault="008846AC" w:rsidP="00184735">
      <w:pPr>
        <w:numPr>
          <w:ilvl w:val="0"/>
          <w:numId w:val="20"/>
        </w:numPr>
        <w:spacing w:after="120"/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</w:pPr>
      <w:r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Fill in the</w:t>
      </w:r>
      <w:r w:rsidR="003C682A"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 information specific to your </w:t>
      </w:r>
      <w:r w:rsidR="008B5C63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health system or facility</w:t>
      </w:r>
      <w:r w:rsidR="003C682A"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.</w:t>
      </w:r>
      <w:r w:rsidR="008B5C63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 If your facility is </w:t>
      </w:r>
      <w:r w:rsidR="004F0119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in </w:t>
      </w:r>
      <w:r w:rsidR="008B5C63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the EU or UK, regulated </w:t>
      </w:r>
      <w:r w:rsidR="004F0119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SUD </w:t>
      </w:r>
      <w:r w:rsidR="008B5C63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reprocessing is known as remanufacturing</w:t>
      </w:r>
      <w:r w:rsidR="004F0119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, so replace terms as necessary.</w:t>
      </w:r>
    </w:p>
    <w:p w14:paraId="5A804FEC" w14:textId="79C62FDE" w:rsidR="003C682A" w:rsidRDefault="003C682A" w:rsidP="00184735">
      <w:pPr>
        <w:numPr>
          <w:ilvl w:val="0"/>
          <w:numId w:val="20"/>
        </w:numPr>
        <w:spacing w:after="120"/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</w:pPr>
      <w:r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Review </w:t>
      </w:r>
      <w:r w:rsidR="008B5C63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Section 4</w:t>
      </w:r>
      <w:r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 </w:t>
      </w:r>
      <w:r w:rsidR="008B5C63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(</w:t>
      </w:r>
      <w:r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“Fair</w:t>
      </w:r>
      <w:r w:rsidR="003F315C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 </w:t>
      </w:r>
      <w:r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Contracting &amp; Anti-Interference Rules”</w:t>
      </w:r>
      <w:r w:rsidR="008B5C63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)</w:t>
      </w:r>
      <w:r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 with your legal counsel or contracting office to be sure the remedies and reporting pathways align with your existing vendor-management policies.</w:t>
      </w:r>
    </w:p>
    <w:p w14:paraId="5429BA62" w14:textId="7D30BAE3" w:rsidR="00E0478F" w:rsidRPr="003C682A" w:rsidRDefault="00E0478F" w:rsidP="00184735">
      <w:pPr>
        <w:numPr>
          <w:ilvl w:val="0"/>
          <w:numId w:val="20"/>
        </w:numPr>
        <w:spacing w:after="120"/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</w:pPr>
      <w:r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Review Section 6 and determine who at your organization should manage complaints.</w:t>
      </w:r>
    </w:p>
    <w:p w14:paraId="07870A59" w14:textId="58291AC5" w:rsidR="003C682A" w:rsidRPr="003C682A" w:rsidRDefault="003C682A" w:rsidP="00184735">
      <w:pPr>
        <w:numPr>
          <w:ilvl w:val="0"/>
          <w:numId w:val="20"/>
        </w:numPr>
        <w:spacing w:after="120"/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</w:pPr>
      <w:r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Circulate the completed policy for executive, </w:t>
      </w:r>
      <w:r w:rsidR="008B5C63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clinical, </w:t>
      </w:r>
      <w:r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supply-chain, and </w:t>
      </w:r>
      <w:r w:rsidR="008B5C63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sustainability </w:t>
      </w:r>
      <w:r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leadership</w:t>
      </w:r>
      <w:r w:rsidR="008846AC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 review and</w:t>
      </w:r>
      <w:r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 signatures.</w:t>
      </w:r>
    </w:p>
    <w:p w14:paraId="62A4A43D" w14:textId="4A90028B" w:rsidR="003C682A" w:rsidRPr="003C682A" w:rsidRDefault="003C682A" w:rsidP="00184735">
      <w:pPr>
        <w:numPr>
          <w:ilvl w:val="0"/>
          <w:numId w:val="20"/>
        </w:numPr>
        <w:spacing w:after="120"/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</w:pPr>
      <w:r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Attach the signed policy as an exhibit (or cite it by reference) in new capital-equipment</w:t>
      </w:r>
      <w:r w:rsidR="008B5C63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, devices, and other procurement </w:t>
      </w:r>
      <w:r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contracts.</w:t>
      </w:r>
    </w:p>
    <w:p w14:paraId="613DA2EE" w14:textId="77777777" w:rsidR="003C682A" w:rsidRPr="003C682A" w:rsidRDefault="003C682A" w:rsidP="00184735">
      <w:pPr>
        <w:numPr>
          <w:ilvl w:val="0"/>
          <w:numId w:val="20"/>
        </w:numPr>
        <w:spacing w:after="120"/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</w:pPr>
      <w:r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Provide a copy to every vendor representative who enters your clinical areas.</w:t>
      </w:r>
    </w:p>
    <w:p w14:paraId="06CF5563" w14:textId="468F7EDF" w:rsidR="008B5C63" w:rsidRDefault="003C682A" w:rsidP="00184735">
      <w:pPr>
        <w:spacing w:after="120"/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</w:pPr>
      <w:r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The language has been drafted to stand on its own, but </w:t>
      </w:r>
      <w:r w:rsidR="004F0119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we encourage you to </w:t>
      </w:r>
      <w:r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add site-specific requirements as needed. The more clearly your organization signals its expectations, the less room there is for confusion—or for practices that undermine </w:t>
      </w:r>
      <w:r w:rsidR="006C15F6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regulated</w:t>
      </w:r>
      <w:r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>, cost-</w:t>
      </w:r>
      <w:r w:rsidR="006C15F6" w:rsidRPr="004F0119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 and emissions-cutting</w:t>
      </w:r>
      <w:r w:rsidRPr="003C682A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t xml:space="preserve"> reprocessing.</w:t>
      </w:r>
      <w:r w:rsidR="008B5C63"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  <w:br w:type="page"/>
      </w:r>
    </w:p>
    <w:p w14:paraId="35D51BD9" w14:textId="2703E5DE" w:rsidR="00B56DC1" w:rsidRPr="008B5C63" w:rsidRDefault="00D03E6C" w:rsidP="00184735">
      <w:pPr>
        <w:spacing w:after="120"/>
        <w:rPr>
          <w:rFonts w:ascii="Gill Sans MT" w:eastAsia="Times New Roman" w:hAnsi="Gill Sans MT" w:cs="Times New Roman"/>
          <w:kern w:val="0"/>
          <w:sz w:val="24"/>
          <w:szCs w:val="24"/>
          <w14:ligatures w14:val="none"/>
        </w:rPr>
      </w:pPr>
      <w:r w:rsidRPr="00F63F25">
        <w:rPr>
          <w:rFonts w:ascii="Gill Sans MT" w:eastAsia="Times New Roman" w:hAnsi="Gill Sans MT" w:cs="Times New Roman"/>
          <w:b/>
          <w:bCs/>
          <w:kern w:val="0"/>
          <w:sz w:val="28"/>
          <w:szCs w:val="28"/>
          <w14:ligatures w14:val="none"/>
        </w:rPr>
        <w:lastRenderedPageBreak/>
        <w:t>[</w:t>
      </w:r>
      <w:r w:rsidR="003C603F" w:rsidRPr="00F63F25">
        <w:rPr>
          <w:rFonts w:ascii="Gill Sans MT" w:eastAsia="Times New Roman" w:hAnsi="Gill Sans MT" w:cs="Times New Roman"/>
          <w:b/>
          <w:bCs/>
          <w:kern w:val="0"/>
          <w:sz w:val="28"/>
          <w:szCs w:val="28"/>
          <w14:ligatures w14:val="none"/>
        </w:rPr>
        <w:t>O</w:t>
      </w:r>
      <w:r w:rsidR="002A5A6F" w:rsidRPr="00F63F25">
        <w:rPr>
          <w:rFonts w:ascii="Gill Sans MT" w:eastAsia="Times New Roman" w:hAnsi="Gill Sans MT" w:cs="Times New Roman"/>
          <w:b/>
          <w:bCs/>
          <w:kern w:val="0"/>
          <w:sz w:val="28"/>
          <w:szCs w:val="28"/>
          <w14:ligatures w14:val="none"/>
        </w:rPr>
        <w:t>rganization</w:t>
      </w:r>
      <w:r w:rsidRPr="00F63F25">
        <w:rPr>
          <w:rFonts w:ascii="Gill Sans MT" w:eastAsia="Times New Roman" w:hAnsi="Gill Sans MT" w:cs="Times New Roman"/>
          <w:b/>
          <w:bCs/>
          <w:kern w:val="0"/>
          <w:sz w:val="28"/>
          <w:szCs w:val="28"/>
          <w14:ligatures w14:val="none"/>
        </w:rPr>
        <w:t>]</w:t>
      </w:r>
      <w:r w:rsidR="002A5A6F" w:rsidRPr="00F63F25">
        <w:rPr>
          <w:rFonts w:ascii="Gill Sans MT" w:eastAsia="Times New Roman" w:hAnsi="Gill Sans MT" w:cs="Times New Roman"/>
          <w:b/>
          <w:bCs/>
          <w:kern w:val="0"/>
          <w:sz w:val="28"/>
          <w:szCs w:val="28"/>
          <w14:ligatures w14:val="none"/>
        </w:rPr>
        <w:t xml:space="preserve">’s </w:t>
      </w:r>
      <w:r w:rsidR="00F90B19" w:rsidRPr="00F63F25">
        <w:rPr>
          <w:rFonts w:ascii="Gill Sans MT" w:eastAsia="Times New Roman" w:hAnsi="Gill Sans MT" w:cs="Times New Roman"/>
          <w:b/>
          <w:bCs/>
          <w:kern w:val="0"/>
          <w:sz w:val="28"/>
          <w:szCs w:val="28"/>
          <w14:ligatures w14:val="none"/>
        </w:rPr>
        <w:t xml:space="preserve">Regulated </w:t>
      </w:r>
      <w:r w:rsidR="003C682A">
        <w:rPr>
          <w:rFonts w:ascii="Gill Sans MT" w:eastAsia="Times New Roman" w:hAnsi="Gill Sans MT" w:cs="Times New Roman"/>
          <w:b/>
          <w:bCs/>
          <w:kern w:val="0"/>
          <w:sz w:val="28"/>
          <w:szCs w:val="28"/>
          <w14:ligatures w14:val="none"/>
        </w:rPr>
        <w:t>Medical</w:t>
      </w:r>
      <w:r w:rsidR="00F90B19" w:rsidRPr="00F63F25">
        <w:rPr>
          <w:rFonts w:ascii="Gill Sans MT" w:eastAsia="Times New Roman" w:hAnsi="Gill Sans MT" w:cs="Times New Roman"/>
          <w:b/>
          <w:bCs/>
          <w:kern w:val="0"/>
          <w:sz w:val="28"/>
          <w:szCs w:val="28"/>
          <w14:ligatures w14:val="none"/>
        </w:rPr>
        <w:t xml:space="preserve"> Device </w:t>
      </w:r>
      <w:r w:rsidR="002A5A6F" w:rsidRPr="00F63F25">
        <w:rPr>
          <w:rFonts w:ascii="Gill Sans MT" w:hAnsi="Gill Sans MT"/>
          <w:b/>
          <w:bCs/>
          <w:sz w:val="28"/>
          <w:szCs w:val="28"/>
        </w:rPr>
        <w:t>Reprocessing</w:t>
      </w:r>
      <w:r w:rsidR="00A17CDD">
        <w:rPr>
          <w:rFonts w:ascii="Gill Sans MT" w:hAnsi="Gill Sans MT"/>
          <w:b/>
          <w:bCs/>
          <w:sz w:val="28"/>
          <w:szCs w:val="28"/>
        </w:rPr>
        <w:t xml:space="preserve"> </w:t>
      </w:r>
      <w:r w:rsidR="00B56DC1" w:rsidRPr="00F63F25">
        <w:rPr>
          <w:rFonts w:ascii="Gill Sans MT" w:hAnsi="Gill Sans MT"/>
          <w:b/>
          <w:bCs/>
          <w:sz w:val="28"/>
          <w:szCs w:val="28"/>
        </w:rPr>
        <w:t>and Fair</w:t>
      </w:r>
      <w:r w:rsidR="003F315C">
        <w:rPr>
          <w:rFonts w:ascii="Gill Sans MT" w:hAnsi="Gill Sans MT"/>
          <w:b/>
          <w:bCs/>
          <w:sz w:val="28"/>
          <w:szCs w:val="28"/>
        </w:rPr>
        <w:t xml:space="preserve"> </w:t>
      </w:r>
      <w:r w:rsidR="00556CE8">
        <w:rPr>
          <w:rFonts w:ascii="Gill Sans MT" w:hAnsi="Gill Sans MT"/>
          <w:b/>
          <w:bCs/>
          <w:sz w:val="28"/>
          <w:szCs w:val="28"/>
        </w:rPr>
        <w:t>Contracting</w:t>
      </w:r>
      <w:r w:rsidR="002A5A6F" w:rsidRPr="00F63F25">
        <w:rPr>
          <w:rFonts w:ascii="Gill Sans MT" w:hAnsi="Gill Sans MT"/>
          <w:b/>
          <w:bCs/>
          <w:sz w:val="28"/>
          <w:szCs w:val="28"/>
        </w:rPr>
        <w:t xml:space="preserve"> Policy </w:t>
      </w:r>
      <w:r w:rsidR="00B56DC1" w:rsidRPr="00F63F25">
        <w:rPr>
          <w:rFonts w:ascii="Gill Sans MT" w:hAnsi="Gill Sans MT"/>
          <w:b/>
          <w:bCs/>
          <w:sz w:val="28"/>
          <w:szCs w:val="28"/>
        </w:rPr>
        <w:br/>
      </w:r>
    </w:p>
    <w:p w14:paraId="733EC385" w14:textId="6D1DD0F1" w:rsidR="00B56DC1" w:rsidRPr="006E7B6C" w:rsidRDefault="00B56DC1" w:rsidP="00184735">
      <w:pPr>
        <w:pStyle w:val="ListParagraph"/>
        <w:numPr>
          <w:ilvl w:val="0"/>
          <w:numId w:val="14"/>
        </w:numPr>
        <w:spacing w:after="120"/>
        <w:ind w:left="0" w:right="-274"/>
        <w:contextualSpacing w:val="0"/>
        <w:rPr>
          <w:rFonts w:ascii="Gill Sans MT" w:hAnsi="Gill Sans MT"/>
          <w:b/>
          <w:bCs/>
        </w:rPr>
      </w:pPr>
      <w:r w:rsidRPr="006E7B6C">
        <w:rPr>
          <w:rFonts w:ascii="Gill Sans MT" w:hAnsi="Gill Sans MT"/>
          <w:b/>
          <w:bCs/>
        </w:rPr>
        <w:t>Purpose &amp; Scope</w:t>
      </w:r>
    </w:p>
    <w:p w14:paraId="459511B5" w14:textId="566D6559" w:rsidR="00DD7A00" w:rsidRDefault="008846AC" w:rsidP="00184735">
      <w:pPr>
        <w:pStyle w:val="ListParagraph"/>
        <w:numPr>
          <w:ilvl w:val="1"/>
          <w:numId w:val="14"/>
        </w:numPr>
        <w:spacing w:after="120"/>
        <w:ind w:left="450" w:right="-27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 xml:space="preserve">By agreeing to work with </w:t>
      </w:r>
      <w:r w:rsidR="00B56DC1" w:rsidRPr="00F63F25">
        <w:rPr>
          <w:rFonts w:ascii="Gill Sans MT" w:hAnsi="Gill Sans MT"/>
        </w:rPr>
        <w:t>[Organization]</w:t>
      </w:r>
      <w:r>
        <w:rPr>
          <w:rFonts w:ascii="Gill Sans MT" w:hAnsi="Gill Sans MT"/>
        </w:rPr>
        <w:t>, (hereafter “</w:t>
      </w:r>
      <w:r w:rsidR="00184AAA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rganization”), [Vendor] (hereafter “vendor”) agrees to </w:t>
      </w:r>
      <w:r w:rsidR="00DD7A00">
        <w:rPr>
          <w:rFonts w:ascii="Gill Sans MT" w:hAnsi="Gill Sans MT"/>
        </w:rPr>
        <w:t>never interfer</w:t>
      </w:r>
      <w:r w:rsidR="00A17CDD">
        <w:rPr>
          <w:rFonts w:ascii="Gill Sans MT" w:hAnsi="Gill Sans MT"/>
        </w:rPr>
        <w:t>e</w:t>
      </w:r>
      <w:r w:rsidR="00DD7A00">
        <w:rPr>
          <w:rFonts w:ascii="Gill Sans MT" w:hAnsi="Gill Sans MT"/>
        </w:rPr>
        <w:t xml:space="preserve"> with the organization’s commitment to </w:t>
      </w:r>
      <w:r w:rsidR="00B56DC1" w:rsidRPr="00F63F25">
        <w:rPr>
          <w:rFonts w:ascii="Gill Sans MT" w:hAnsi="Gill Sans MT"/>
        </w:rPr>
        <w:t>cut greenhouse-gas emissions and waste through maximum use of regulated, commercially reprocessed “single-use” devices (SUDs)</w:t>
      </w:r>
      <w:r w:rsidR="00184AAA">
        <w:rPr>
          <w:rFonts w:ascii="Gill Sans MT" w:hAnsi="Gill Sans MT"/>
        </w:rPr>
        <w:t>, nor</w:t>
      </w:r>
      <w:r w:rsidR="00DF48AD">
        <w:rPr>
          <w:rFonts w:ascii="Gill Sans MT" w:hAnsi="Gill Sans MT"/>
        </w:rPr>
        <w:t xml:space="preserve"> with</w:t>
      </w:r>
      <w:r w:rsidR="00DF48AD" w:rsidRPr="00F63F25">
        <w:rPr>
          <w:rFonts w:ascii="Gill Sans MT" w:hAnsi="Gill Sans MT"/>
        </w:rPr>
        <w:t xml:space="preserve"> </w:t>
      </w:r>
      <w:r w:rsidR="00DD7A00">
        <w:rPr>
          <w:rFonts w:ascii="Gill Sans MT" w:hAnsi="Gill Sans MT"/>
        </w:rPr>
        <w:t>the organization’s</w:t>
      </w:r>
      <w:r w:rsidR="00DD7A00" w:rsidRPr="00F63F25">
        <w:rPr>
          <w:rFonts w:ascii="Gill Sans MT" w:hAnsi="Gill Sans MT"/>
        </w:rPr>
        <w:t xml:space="preserve"> </w:t>
      </w:r>
      <w:r w:rsidR="00DD7A00">
        <w:rPr>
          <w:rFonts w:ascii="Gill Sans MT" w:hAnsi="Gill Sans MT"/>
        </w:rPr>
        <w:t>right</w:t>
      </w:r>
      <w:r w:rsidR="00DD7A00" w:rsidRPr="00F63F25">
        <w:rPr>
          <w:rFonts w:ascii="Gill Sans MT" w:hAnsi="Gill Sans MT"/>
        </w:rPr>
        <w:t xml:space="preserve"> </w:t>
      </w:r>
      <w:r w:rsidR="00B56DC1" w:rsidRPr="00F63F25">
        <w:rPr>
          <w:rFonts w:ascii="Gill Sans MT" w:hAnsi="Gill Sans MT"/>
        </w:rPr>
        <w:t xml:space="preserve">to choose </w:t>
      </w:r>
      <w:r w:rsidR="00184AAA">
        <w:rPr>
          <w:rFonts w:ascii="Gill Sans MT" w:hAnsi="Gill Sans MT"/>
        </w:rPr>
        <w:t xml:space="preserve">such products </w:t>
      </w:r>
      <w:r w:rsidR="009C16B3">
        <w:rPr>
          <w:rFonts w:ascii="Gill Sans MT" w:hAnsi="Gill Sans MT"/>
        </w:rPr>
        <w:t>through</w:t>
      </w:r>
      <w:r w:rsidR="009C16B3" w:rsidRPr="00F63F25">
        <w:rPr>
          <w:rFonts w:ascii="Gill Sans MT" w:hAnsi="Gill Sans MT"/>
        </w:rPr>
        <w:t xml:space="preserve"> </w:t>
      </w:r>
      <w:r w:rsidR="00B56DC1" w:rsidRPr="00F63F25">
        <w:rPr>
          <w:rFonts w:ascii="Gill Sans MT" w:hAnsi="Gill Sans MT"/>
        </w:rPr>
        <w:t xml:space="preserve">any contractual or technical barrier. </w:t>
      </w:r>
    </w:p>
    <w:p w14:paraId="7F875E66" w14:textId="7E90C0C1" w:rsidR="00AF214A" w:rsidRPr="00DD7A00" w:rsidRDefault="00B56DC1" w:rsidP="00184735">
      <w:pPr>
        <w:pStyle w:val="ListParagraph"/>
        <w:spacing w:after="120"/>
        <w:ind w:left="450" w:right="-274"/>
        <w:contextualSpacing w:val="0"/>
        <w:rPr>
          <w:rFonts w:ascii="Gill Sans MT" w:hAnsi="Gill Sans MT"/>
        </w:rPr>
      </w:pPr>
      <w:r w:rsidRPr="00DD7A00">
        <w:rPr>
          <w:rFonts w:ascii="Gill Sans MT" w:hAnsi="Gill Sans MT"/>
        </w:rPr>
        <w:t xml:space="preserve">Embedding these principles in every purchase order, service agreement, and clinical workflow strengthens our supply chain, frees budget for patient care, and advances our sustainability </w:t>
      </w:r>
      <w:r w:rsidR="00A17CDD">
        <w:rPr>
          <w:rFonts w:ascii="Gill Sans MT" w:hAnsi="Gill Sans MT"/>
        </w:rPr>
        <w:t>efforts</w:t>
      </w:r>
      <w:r w:rsidRPr="00DD7A00">
        <w:rPr>
          <w:rFonts w:ascii="Gill Sans MT" w:hAnsi="Gill Sans MT"/>
        </w:rPr>
        <w:t>.</w:t>
      </w:r>
    </w:p>
    <w:p w14:paraId="462D80B0" w14:textId="6B0F1CBA" w:rsidR="00AF214A" w:rsidRPr="006E7B6C" w:rsidRDefault="0017357A" w:rsidP="00184735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ind w:left="0" w:right="-274"/>
        <w:contextualSpacing w:val="0"/>
        <w:rPr>
          <w:rFonts w:ascii="Gill Sans MT" w:eastAsia="Times New Roman" w:hAnsi="Gill Sans MT" w:cs="Times New Roman"/>
          <w:b/>
          <w:bCs/>
          <w:kern w:val="0"/>
          <w14:ligatures w14:val="none"/>
        </w:rPr>
      </w:pPr>
      <w:r w:rsidRPr="006E7B6C">
        <w:rPr>
          <w:rFonts w:ascii="Gill Sans MT" w:eastAsia="Times New Roman" w:hAnsi="Gill Sans MT" w:cs="Times New Roman"/>
          <w:b/>
          <w:bCs/>
          <w:kern w:val="0"/>
          <w14:ligatures w14:val="none"/>
        </w:rPr>
        <w:t>Reprocessing</w:t>
      </w:r>
      <w:r w:rsidR="00AF214A" w:rsidRPr="006E7B6C">
        <w:rPr>
          <w:rFonts w:ascii="Gill Sans MT" w:eastAsia="Times New Roman" w:hAnsi="Gill Sans MT" w:cs="Times New Roman"/>
          <w:b/>
          <w:bCs/>
          <w:kern w:val="0"/>
          <w14:ligatures w14:val="none"/>
        </w:rPr>
        <w:t xml:space="preserve"> Principles</w:t>
      </w:r>
    </w:p>
    <w:p w14:paraId="1A92C40E" w14:textId="49641A92" w:rsidR="00AF214A" w:rsidRPr="006E7B6C" w:rsidRDefault="00DD7A00" w:rsidP="00184735">
      <w:pPr>
        <w:pStyle w:val="ListParagraph"/>
        <w:numPr>
          <w:ilvl w:val="1"/>
          <w:numId w:val="14"/>
        </w:numPr>
        <w:shd w:val="clear" w:color="auto" w:fill="FFFFFF"/>
        <w:spacing w:after="120" w:line="276" w:lineRule="auto"/>
        <w:ind w:left="450" w:right="-274"/>
        <w:contextualSpacing w:val="0"/>
        <w:rPr>
          <w:rFonts w:ascii="Gill Sans MT" w:eastAsia="Times New Roman" w:hAnsi="Gill Sans MT" w:cs="Times New Roman"/>
          <w:kern w:val="0"/>
          <w14:ligatures w14:val="none"/>
        </w:rPr>
      </w:pPr>
      <w:r>
        <w:rPr>
          <w:rFonts w:ascii="Gill Sans MT" w:eastAsia="Times New Roman" w:hAnsi="Gill Sans MT" w:cs="Times New Roman"/>
          <w:kern w:val="0"/>
          <w14:ligatures w14:val="none"/>
        </w:rPr>
        <w:t>The o</w:t>
      </w:r>
      <w:r w:rsidR="00AF214A" w:rsidRPr="006E7B6C">
        <w:rPr>
          <w:rFonts w:ascii="Gill Sans MT" w:eastAsia="Times New Roman" w:hAnsi="Gill Sans MT" w:cs="Times New Roman"/>
          <w:kern w:val="0"/>
          <w14:ligatures w14:val="none"/>
        </w:rPr>
        <w:t>rganization is committed to finding safe and effective ways to reduce cost, waste, greenhouse gas emissions while building more resilience into the supply chain.</w:t>
      </w:r>
    </w:p>
    <w:p w14:paraId="5DFB82F5" w14:textId="149EEA8C" w:rsidR="00AF214A" w:rsidRPr="006E7B6C" w:rsidRDefault="00DD7A00" w:rsidP="00184735">
      <w:pPr>
        <w:pStyle w:val="ListParagraph"/>
        <w:numPr>
          <w:ilvl w:val="1"/>
          <w:numId w:val="14"/>
        </w:numPr>
        <w:shd w:val="clear" w:color="auto" w:fill="FFFFFF"/>
        <w:spacing w:after="120" w:line="276" w:lineRule="auto"/>
        <w:ind w:left="450" w:right="-274"/>
        <w:contextualSpacing w:val="0"/>
        <w:rPr>
          <w:rFonts w:ascii="Gill Sans MT" w:eastAsia="Times New Roman" w:hAnsi="Gill Sans MT" w:cs="Times New Roman"/>
          <w:kern w:val="0"/>
          <w14:ligatures w14:val="none"/>
        </w:rPr>
      </w:pPr>
      <w:r>
        <w:rPr>
          <w:rFonts w:ascii="Gill Sans MT" w:eastAsia="Times New Roman" w:hAnsi="Gill Sans MT" w:cs="Times New Roman"/>
          <w:kern w:val="0"/>
          <w14:ligatures w14:val="none"/>
        </w:rPr>
        <w:t>The o</w:t>
      </w:r>
      <w:r w:rsidR="00AF214A" w:rsidRPr="006E7B6C">
        <w:rPr>
          <w:rFonts w:ascii="Gill Sans MT" w:eastAsia="Times New Roman" w:hAnsi="Gill Sans MT" w:cs="Times New Roman"/>
          <w:kern w:val="0"/>
          <w14:ligatures w14:val="none"/>
        </w:rPr>
        <w:t>rganization prioritizes the purchase of reusable or regulated, commercially reprocessed SUDs over disposable SUDs, whenever possible.</w:t>
      </w:r>
      <w:r w:rsidR="0017357A" w:rsidRPr="006E7B6C">
        <w:rPr>
          <w:rFonts w:ascii="Gill Sans MT" w:hAnsi="Gill Sans MT"/>
          <w:color w:val="5C6668"/>
          <w:shd w:val="clear" w:color="auto" w:fill="FFFFFF"/>
        </w:rPr>
        <w:t xml:space="preserve"> </w:t>
      </w:r>
      <w:r w:rsidR="0017357A" w:rsidRPr="006E7B6C">
        <w:rPr>
          <w:rFonts w:ascii="Gill Sans MT" w:eastAsia="Times New Roman" w:hAnsi="Gill Sans MT" w:cs="Times New Roman"/>
          <w:kern w:val="0"/>
          <w14:ligatures w14:val="none"/>
        </w:rPr>
        <w:t>We will maximize opportunities to reprocess SUDs and buy back reprocessed devices to support reuse and resource conservation.</w:t>
      </w:r>
    </w:p>
    <w:p w14:paraId="31D2B500" w14:textId="75E1FDCB" w:rsidR="00C75BF7" w:rsidRDefault="00C75BF7" w:rsidP="00184735">
      <w:pPr>
        <w:pStyle w:val="ListParagraph"/>
        <w:numPr>
          <w:ilvl w:val="1"/>
          <w:numId w:val="14"/>
        </w:numPr>
        <w:shd w:val="clear" w:color="auto" w:fill="FFFFFF"/>
        <w:spacing w:after="120" w:line="276" w:lineRule="auto"/>
        <w:ind w:left="450" w:right="-274"/>
        <w:contextualSpacing w:val="0"/>
        <w:rPr>
          <w:rFonts w:ascii="Gill Sans MT" w:eastAsia="Times New Roman" w:hAnsi="Gill Sans MT" w:cs="Times New Roman"/>
          <w:kern w:val="0"/>
          <w14:ligatures w14:val="none"/>
        </w:rPr>
      </w:pPr>
      <w:r w:rsidRPr="006E7B6C">
        <w:rPr>
          <w:rFonts w:ascii="Gill Sans MT" w:hAnsi="Gill Sans MT"/>
        </w:rPr>
        <w:t xml:space="preserve">All original equipment manufacturers (OEMs) of SUDs that wish to sell products to </w:t>
      </w:r>
      <w:r w:rsidR="00DD7A00">
        <w:rPr>
          <w:rFonts w:ascii="Gill Sans MT" w:hAnsi="Gill Sans MT"/>
        </w:rPr>
        <w:t xml:space="preserve">the </w:t>
      </w:r>
      <w:r w:rsidRPr="006E7B6C">
        <w:rPr>
          <w:rFonts w:ascii="Gill Sans MT" w:hAnsi="Gill Sans MT"/>
        </w:rPr>
        <w:t xml:space="preserve">organization are informed that </w:t>
      </w:r>
      <w:r w:rsidR="00DD7A00">
        <w:rPr>
          <w:rFonts w:ascii="Gill Sans MT" w:hAnsi="Gill Sans MT"/>
        </w:rPr>
        <w:t xml:space="preserve">the </w:t>
      </w:r>
      <w:r w:rsidRPr="006E7B6C">
        <w:rPr>
          <w:rFonts w:ascii="Gill Sans MT" w:hAnsi="Gill Sans MT"/>
        </w:rPr>
        <w:t>organization intends to make optimal use of the devices we acquire, and that reprocessing is an important piece of this effort.</w:t>
      </w:r>
      <w:r w:rsidR="0017357A" w:rsidRPr="006E7B6C">
        <w:rPr>
          <w:rFonts w:ascii="Gill Sans MT" w:hAnsi="Gill Sans MT"/>
        </w:rPr>
        <w:t xml:space="preserve"> </w:t>
      </w:r>
      <w:r w:rsidR="00DD7A00">
        <w:rPr>
          <w:rFonts w:ascii="Gill Sans MT" w:hAnsi="Gill Sans MT"/>
        </w:rPr>
        <w:t>Vendor acknowledges that the organization will</w:t>
      </w:r>
      <w:r w:rsidR="00DD7A00" w:rsidRPr="006E7B6C">
        <w:rPr>
          <w:rFonts w:ascii="Gill Sans MT" w:hAnsi="Gill Sans MT"/>
        </w:rPr>
        <w:t xml:space="preserve"> </w:t>
      </w:r>
      <w:r w:rsidR="0017357A" w:rsidRPr="006E7B6C">
        <w:rPr>
          <w:rFonts w:ascii="Gill Sans MT" w:eastAsia="Times New Roman" w:hAnsi="Gill Sans MT" w:cs="Times New Roman"/>
          <w:kern w:val="0"/>
          <w14:ligatures w14:val="none"/>
        </w:rPr>
        <w:t>reject any contractual term or technical measure that impedes</w:t>
      </w:r>
      <w:r w:rsidR="00DD7A00">
        <w:rPr>
          <w:rFonts w:ascii="Gill Sans MT" w:eastAsia="Times New Roman" w:hAnsi="Gill Sans MT" w:cs="Times New Roman"/>
          <w:kern w:val="0"/>
          <w14:ligatures w14:val="none"/>
        </w:rPr>
        <w:t xml:space="preserve"> the hospitals right to collect devices for reprocessing or to use reprocessed SUDs</w:t>
      </w:r>
      <w:r w:rsidR="00582EB9">
        <w:rPr>
          <w:rFonts w:ascii="Gill Sans MT" w:eastAsia="Times New Roman" w:hAnsi="Gill Sans MT" w:cs="Times New Roman"/>
          <w:kern w:val="0"/>
          <w14:ligatures w14:val="none"/>
        </w:rPr>
        <w:t xml:space="preserve"> </w:t>
      </w:r>
      <w:r w:rsidR="00F63F25" w:rsidRPr="006E7B6C">
        <w:rPr>
          <w:rFonts w:ascii="Gill Sans MT" w:eastAsia="Times New Roman" w:hAnsi="Gill Sans MT" w:cs="Times New Roman"/>
          <w:kern w:val="0"/>
          <w14:ligatures w14:val="none"/>
        </w:rPr>
        <w:t xml:space="preserve">(see </w:t>
      </w:r>
      <w:r w:rsidR="00F63F25" w:rsidRPr="006E7B6C">
        <w:rPr>
          <w:rFonts w:ascii="Gill Sans MT" w:hAnsi="Gill Sans MT"/>
        </w:rPr>
        <w:t>§</w:t>
      </w:r>
      <w:r w:rsidR="00582EB9">
        <w:rPr>
          <w:rFonts w:ascii="Gill Sans MT" w:hAnsi="Gill Sans MT"/>
        </w:rPr>
        <w:t>4</w:t>
      </w:r>
      <w:r w:rsidR="00F63F25" w:rsidRPr="006E7B6C">
        <w:rPr>
          <w:rFonts w:ascii="Gill Sans MT" w:hAnsi="Gill Sans MT"/>
        </w:rPr>
        <w:t>)</w:t>
      </w:r>
      <w:r w:rsidR="0017357A" w:rsidRPr="006E7B6C">
        <w:rPr>
          <w:rFonts w:ascii="Gill Sans MT" w:eastAsia="Times New Roman" w:hAnsi="Gill Sans MT" w:cs="Times New Roman"/>
          <w:kern w:val="0"/>
          <w14:ligatures w14:val="none"/>
        </w:rPr>
        <w:t>.</w:t>
      </w:r>
    </w:p>
    <w:p w14:paraId="67E7799B" w14:textId="2769E3D2" w:rsidR="00D54037" w:rsidRPr="00D54037" w:rsidRDefault="00D54037" w:rsidP="00D54037">
      <w:pPr>
        <w:pStyle w:val="ListParagraph"/>
        <w:numPr>
          <w:ilvl w:val="1"/>
          <w:numId w:val="14"/>
        </w:numPr>
        <w:shd w:val="clear" w:color="auto" w:fill="FFFFFF"/>
        <w:spacing w:after="120" w:line="276" w:lineRule="auto"/>
        <w:ind w:left="450" w:right="-274"/>
        <w:contextualSpacing w:val="0"/>
        <w:rPr>
          <w:rFonts w:ascii="Gill Sans MT" w:eastAsia="Times New Roman" w:hAnsi="Gill Sans MT" w:cs="Times New Roman"/>
          <w:kern w:val="0"/>
          <w14:ligatures w14:val="none"/>
        </w:rPr>
      </w:pPr>
      <w:r>
        <w:rPr>
          <w:rFonts w:ascii="Gill Sans MT" w:eastAsia="Times New Roman" w:hAnsi="Gill Sans MT" w:cs="Times New Roman"/>
          <w:kern w:val="0"/>
          <w14:ligatures w14:val="none"/>
        </w:rPr>
        <w:t>The o</w:t>
      </w:r>
      <w:r w:rsidRPr="006E7B6C">
        <w:rPr>
          <w:rFonts w:ascii="Gill Sans MT" w:eastAsia="Times New Roman" w:hAnsi="Gill Sans MT" w:cs="Times New Roman"/>
          <w:kern w:val="0"/>
          <w14:ligatures w14:val="none"/>
        </w:rPr>
        <w:t xml:space="preserve">rganization prioritizes reprocessing over recycling, given its </w:t>
      </w:r>
      <w:r>
        <w:rPr>
          <w:rFonts w:ascii="Gill Sans MT" w:eastAsia="Times New Roman" w:hAnsi="Gill Sans MT" w:cs="Times New Roman"/>
          <w:kern w:val="0"/>
          <w14:ligatures w14:val="none"/>
        </w:rPr>
        <w:t xml:space="preserve">widely accepted </w:t>
      </w:r>
      <w:r w:rsidRPr="006E7B6C">
        <w:rPr>
          <w:rFonts w:ascii="Gill Sans MT" w:eastAsia="Times New Roman" w:hAnsi="Gill Sans MT" w:cs="Times New Roman"/>
          <w:kern w:val="0"/>
          <w14:ligatures w14:val="none"/>
        </w:rPr>
        <w:t>higher ranking in the waste reduction hierarchy (reduce, reuse, recycle</w:t>
      </w:r>
      <w:r w:rsidRPr="00B56DC1">
        <w:rPr>
          <w:rFonts w:ascii="Gill Sans MT" w:hAnsi="Gill Sans MT"/>
        </w:rPr>
        <w:t>—</w:t>
      </w:r>
      <w:r w:rsidRPr="006E7B6C">
        <w:rPr>
          <w:rFonts w:ascii="Gill Sans MT" w:eastAsia="Times New Roman" w:hAnsi="Gill Sans MT" w:cs="Times New Roman"/>
          <w:kern w:val="0"/>
          <w14:ligatures w14:val="none"/>
        </w:rPr>
        <w:t>in that order</w:t>
      </w:r>
      <w:r w:rsidRPr="00B56DC1">
        <w:rPr>
          <w:rFonts w:ascii="Gill Sans MT" w:hAnsi="Gill Sans MT"/>
        </w:rPr>
        <w:t>—</w:t>
      </w:r>
      <w:r w:rsidRPr="006E7B6C">
        <w:rPr>
          <w:rFonts w:ascii="Gill Sans MT" w:eastAsia="Times New Roman" w:hAnsi="Gill Sans MT" w:cs="Times New Roman"/>
          <w:kern w:val="0"/>
          <w14:ligatures w14:val="none"/>
        </w:rPr>
        <w:t xml:space="preserve">because recycling consumes considerable energy and other environmental inputs). Nevertheless, to avoid landfill and incineration as much as possible, </w:t>
      </w:r>
      <w:r>
        <w:rPr>
          <w:rFonts w:ascii="Gill Sans MT" w:eastAsia="Times New Roman" w:hAnsi="Gill Sans MT" w:cs="Times New Roman"/>
          <w:kern w:val="0"/>
          <w14:ligatures w14:val="none"/>
        </w:rPr>
        <w:t xml:space="preserve">the organization </w:t>
      </w:r>
      <w:r w:rsidRPr="006E7B6C">
        <w:rPr>
          <w:rFonts w:ascii="Gill Sans MT" w:eastAsia="Times New Roman" w:hAnsi="Gill Sans MT" w:cs="Times New Roman"/>
          <w:kern w:val="0"/>
          <w14:ligatures w14:val="none"/>
        </w:rPr>
        <w:t xml:space="preserve">will seek services aimed at reducing waste in a sustainable manner (such as by recycling, </w:t>
      </w:r>
      <w:r>
        <w:rPr>
          <w:rFonts w:ascii="Gill Sans MT" w:eastAsia="Times New Roman" w:hAnsi="Gill Sans MT" w:cs="Times New Roman"/>
          <w:kern w:val="0"/>
          <w14:ligatures w14:val="none"/>
        </w:rPr>
        <w:t>OEM t</w:t>
      </w:r>
      <w:r w:rsidRPr="006E7B6C">
        <w:rPr>
          <w:rFonts w:ascii="Gill Sans MT" w:eastAsia="Times New Roman" w:hAnsi="Gill Sans MT" w:cs="Times New Roman"/>
          <w:kern w:val="0"/>
          <w14:ligatures w14:val="none"/>
        </w:rPr>
        <w:t>ake-</w:t>
      </w:r>
      <w:r>
        <w:rPr>
          <w:rFonts w:ascii="Gill Sans MT" w:eastAsia="Times New Roman" w:hAnsi="Gill Sans MT" w:cs="Times New Roman"/>
          <w:kern w:val="0"/>
          <w14:ligatures w14:val="none"/>
        </w:rPr>
        <w:t>b</w:t>
      </w:r>
      <w:r w:rsidRPr="006E7B6C">
        <w:rPr>
          <w:rFonts w:ascii="Gill Sans MT" w:eastAsia="Times New Roman" w:hAnsi="Gill Sans MT" w:cs="Times New Roman"/>
          <w:kern w:val="0"/>
          <w14:ligatures w14:val="none"/>
        </w:rPr>
        <w:t>ack</w:t>
      </w:r>
      <w:r>
        <w:rPr>
          <w:rFonts w:ascii="Gill Sans MT" w:eastAsia="Times New Roman" w:hAnsi="Gill Sans MT" w:cs="Times New Roman"/>
          <w:kern w:val="0"/>
          <w14:ligatures w14:val="none"/>
        </w:rPr>
        <w:t xml:space="preserve"> programs</w:t>
      </w:r>
      <w:r w:rsidRPr="006E7B6C">
        <w:rPr>
          <w:rFonts w:ascii="Gill Sans MT" w:eastAsia="Times New Roman" w:hAnsi="Gill Sans MT" w:cs="Times New Roman"/>
          <w:kern w:val="0"/>
          <w14:ligatures w14:val="none"/>
        </w:rPr>
        <w:t>, etc.) from SUDs that have reached their end of life or are not able to be reprocessed.</w:t>
      </w:r>
    </w:p>
    <w:p w14:paraId="1B60E50B" w14:textId="0FAB1044" w:rsidR="00C75BF7" w:rsidRPr="003C682A" w:rsidRDefault="00C75BF7" w:rsidP="00184735">
      <w:pPr>
        <w:pStyle w:val="ListParagraph"/>
        <w:numPr>
          <w:ilvl w:val="1"/>
          <w:numId w:val="14"/>
        </w:numPr>
        <w:shd w:val="clear" w:color="auto" w:fill="FFFFFF"/>
        <w:spacing w:after="120" w:line="276" w:lineRule="auto"/>
        <w:ind w:left="450" w:right="-274"/>
        <w:contextualSpacing w:val="0"/>
        <w:rPr>
          <w:rFonts w:ascii="Gill Sans MT" w:eastAsia="Times New Roman" w:hAnsi="Gill Sans MT" w:cs="Times New Roman"/>
          <w:kern w:val="0"/>
          <w14:ligatures w14:val="none"/>
        </w:rPr>
      </w:pPr>
      <w:r w:rsidRPr="006E7B6C">
        <w:rPr>
          <w:rFonts w:ascii="Gill Sans MT" w:hAnsi="Gill Sans MT"/>
        </w:rPr>
        <w:t>The vendor has reviewed this policy standard and agrees to abide by its terms.</w:t>
      </w:r>
    </w:p>
    <w:p w14:paraId="0140DDA5" w14:textId="063FF1F5" w:rsidR="00AF214A" w:rsidRPr="006E7B6C" w:rsidRDefault="00AF214A" w:rsidP="00184735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ind w:left="0" w:right="-274"/>
        <w:contextualSpacing w:val="0"/>
        <w:rPr>
          <w:rFonts w:ascii="Gill Sans MT" w:eastAsia="Times New Roman" w:hAnsi="Gill Sans MT" w:cs="Times New Roman"/>
          <w:b/>
          <w:bCs/>
          <w:kern w:val="0"/>
          <w14:ligatures w14:val="none"/>
        </w:rPr>
      </w:pPr>
      <w:r w:rsidRPr="006E7B6C">
        <w:rPr>
          <w:rFonts w:ascii="Gill Sans MT" w:eastAsia="Times New Roman" w:hAnsi="Gill Sans MT" w:cs="Times New Roman"/>
          <w:b/>
          <w:bCs/>
          <w:kern w:val="0"/>
          <w14:ligatures w14:val="none"/>
        </w:rPr>
        <w:t>Evidence-Based Product Evaluation</w:t>
      </w:r>
    </w:p>
    <w:p w14:paraId="725E9D00" w14:textId="43947310" w:rsidR="00AF214A" w:rsidRPr="00F63F25" w:rsidRDefault="00DD7A00" w:rsidP="00184735">
      <w:pPr>
        <w:pStyle w:val="ListParagraph"/>
        <w:numPr>
          <w:ilvl w:val="1"/>
          <w:numId w:val="14"/>
        </w:numPr>
        <w:shd w:val="clear" w:color="auto" w:fill="FFFFFF"/>
        <w:spacing w:after="120" w:line="276" w:lineRule="auto"/>
        <w:ind w:left="450" w:right="-274"/>
        <w:contextualSpacing w:val="0"/>
        <w:rPr>
          <w:rFonts w:ascii="Gill Sans MT" w:eastAsia="Times New Roman" w:hAnsi="Gill Sans MT" w:cs="Times New Roman"/>
          <w:kern w:val="0"/>
          <w14:ligatures w14:val="none"/>
        </w:rPr>
      </w:pPr>
      <w:r>
        <w:rPr>
          <w:rFonts w:ascii="Gill Sans MT" w:eastAsia="Times New Roman" w:hAnsi="Gill Sans MT" w:cs="Times New Roman"/>
          <w:kern w:val="0"/>
          <w14:ligatures w14:val="none"/>
        </w:rPr>
        <w:t>The o</w:t>
      </w:r>
      <w:r w:rsidR="00A311D0" w:rsidRPr="00F63F25">
        <w:rPr>
          <w:rFonts w:ascii="Gill Sans MT" w:eastAsia="Times New Roman" w:hAnsi="Gill Sans MT" w:cs="Times New Roman"/>
          <w:kern w:val="0"/>
          <w14:ligatures w14:val="none"/>
        </w:rPr>
        <w:t xml:space="preserve">rganization believes in science-based decision-making and thus, as </w:t>
      </w:r>
      <w:r>
        <w:rPr>
          <w:rFonts w:ascii="Gill Sans MT" w:eastAsia="Times New Roman" w:hAnsi="Gill Sans MT" w:cs="Times New Roman"/>
          <w:kern w:val="0"/>
          <w14:ligatures w14:val="none"/>
        </w:rPr>
        <w:t>the organization</w:t>
      </w:r>
      <w:r w:rsidRPr="00F63F25">
        <w:rPr>
          <w:rFonts w:ascii="Gill Sans MT" w:eastAsia="Times New Roman" w:hAnsi="Gill Sans MT" w:cs="Times New Roman"/>
          <w:kern w:val="0"/>
          <w14:ligatures w14:val="none"/>
        </w:rPr>
        <w:t xml:space="preserve"> </w:t>
      </w:r>
      <w:r w:rsidR="00A311D0" w:rsidRPr="00F63F25">
        <w:rPr>
          <w:rFonts w:ascii="Gill Sans MT" w:eastAsia="Times New Roman" w:hAnsi="Gill Sans MT" w:cs="Times New Roman"/>
          <w:kern w:val="0"/>
          <w14:ligatures w14:val="none"/>
        </w:rPr>
        <w:t>evaluate</w:t>
      </w:r>
      <w:r>
        <w:rPr>
          <w:rFonts w:ascii="Gill Sans MT" w:eastAsia="Times New Roman" w:hAnsi="Gill Sans MT" w:cs="Times New Roman"/>
          <w:kern w:val="0"/>
          <w14:ligatures w14:val="none"/>
        </w:rPr>
        <w:t>s</w:t>
      </w:r>
      <w:r w:rsidR="00A311D0" w:rsidRPr="00F63F25">
        <w:rPr>
          <w:rFonts w:ascii="Gill Sans MT" w:eastAsia="Times New Roman" w:hAnsi="Gill Sans MT" w:cs="Times New Roman"/>
          <w:kern w:val="0"/>
          <w14:ligatures w14:val="none"/>
        </w:rPr>
        <w:t xml:space="preserve"> the cost, sustainability and other benefits of products, </w:t>
      </w:r>
      <w:r>
        <w:rPr>
          <w:rFonts w:ascii="Gill Sans MT" w:eastAsia="Times New Roman" w:hAnsi="Gill Sans MT" w:cs="Times New Roman"/>
          <w:kern w:val="0"/>
          <w14:ligatures w14:val="none"/>
        </w:rPr>
        <w:t xml:space="preserve">it </w:t>
      </w:r>
      <w:r w:rsidR="00A311D0" w:rsidRPr="00F63F25">
        <w:rPr>
          <w:rFonts w:ascii="Gill Sans MT" w:eastAsia="Times New Roman" w:hAnsi="Gill Sans MT" w:cs="Times New Roman"/>
          <w:kern w:val="0"/>
          <w14:ligatures w14:val="none"/>
        </w:rPr>
        <w:t xml:space="preserve">will rely on credible measures and reports for their ability to reduce costs, greenhouse gas emissions and improve supply chain resilience. </w:t>
      </w:r>
      <w:r>
        <w:rPr>
          <w:rFonts w:ascii="Gill Sans MT" w:eastAsia="Times New Roman" w:hAnsi="Gill Sans MT" w:cs="Times New Roman"/>
          <w:kern w:val="0"/>
          <w14:ligatures w14:val="none"/>
        </w:rPr>
        <w:t>The organization</w:t>
      </w:r>
      <w:r w:rsidRPr="00F63F25">
        <w:rPr>
          <w:rFonts w:ascii="Gill Sans MT" w:eastAsia="Times New Roman" w:hAnsi="Gill Sans MT" w:cs="Times New Roman"/>
          <w:kern w:val="0"/>
          <w14:ligatures w14:val="none"/>
        </w:rPr>
        <w:t xml:space="preserve"> </w:t>
      </w:r>
      <w:r w:rsidR="00A311D0" w:rsidRPr="00F63F25">
        <w:rPr>
          <w:rFonts w:ascii="Gill Sans MT" w:eastAsia="Times New Roman" w:hAnsi="Gill Sans MT" w:cs="Times New Roman"/>
          <w:kern w:val="0"/>
          <w14:ligatures w14:val="none"/>
        </w:rPr>
        <w:t>prioritize</w:t>
      </w:r>
      <w:r>
        <w:rPr>
          <w:rFonts w:ascii="Gill Sans MT" w:eastAsia="Times New Roman" w:hAnsi="Gill Sans MT" w:cs="Times New Roman"/>
          <w:kern w:val="0"/>
          <w14:ligatures w14:val="none"/>
        </w:rPr>
        <w:t>s</w:t>
      </w:r>
      <w:r w:rsidR="00A311D0" w:rsidRPr="00F63F25">
        <w:rPr>
          <w:rFonts w:ascii="Gill Sans MT" w:eastAsia="Times New Roman" w:hAnsi="Gill Sans MT" w:cs="Times New Roman"/>
          <w:kern w:val="0"/>
          <w14:ligatures w14:val="none"/>
        </w:rPr>
        <w:t xml:space="preserve"> in </w:t>
      </w:r>
      <w:r>
        <w:rPr>
          <w:rFonts w:ascii="Gill Sans MT" w:eastAsia="Times New Roman" w:hAnsi="Gill Sans MT" w:cs="Times New Roman"/>
          <w:kern w:val="0"/>
          <w14:ligatures w14:val="none"/>
        </w:rPr>
        <w:t>its</w:t>
      </w:r>
      <w:r w:rsidR="00A311D0" w:rsidRPr="00F63F25">
        <w:rPr>
          <w:rFonts w:ascii="Gill Sans MT" w:eastAsia="Times New Roman" w:hAnsi="Gill Sans MT" w:cs="Times New Roman"/>
          <w:kern w:val="0"/>
          <w14:ligatures w14:val="none"/>
        </w:rPr>
        <w:t xml:space="preserve"> evaluation of products reports from suppliers that include the total carbon footprint of their products and/or </w:t>
      </w:r>
      <w:r>
        <w:rPr>
          <w:rFonts w:ascii="Gill Sans MT" w:eastAsia="Times New Roman" w:hAnsi="Gill Sans MT" w:cs="Times New Roman"/>
          <w:kern w:val="0"/>
          <w14:ligatures w14:val="none"/>
        </w:rPr>
        <w:t xml:space="preserve">peer reviewed </w:t>
      </w:r>
      <w:r w:rsidR="00A311D0" w:rsidRPr="00F63F25">
        <w:rPr>
          <w:rFonts w:ascii="Gill Sans MT" w:eastAsia="Times New Roman" w:hAnsi="Gill Sans MT" w:cs="Times New Roman"/>
          <w:kern w:val="0"/>
          <w14:ligatures w14:val="none"/>
        </w:rPr>
        <w:t>Life Cycle Assessments. We will track annual cost savings, waste diversion, and carbon reductions and will report these metrics to executive leadership.</w:t>
      </w:r>
    </w:p>
    <w:p w14:paraId="2DC484E2" w14:textId="546B3A15" w:rsidR="00C75BF7" w:rsidRPr="006E7B6C" w:rsidRDefault="00AF214A" w:rsidP="00184735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ind w:left="0" w:right="-274"/>
        <w:contextualSpacing w:val="0"/>
        <w:rPr>
          <w:rFonts w:ascii="Gill Sans MT" w:eastAsia="Times New Roman" w:hAnsi="Gill Sans MT" w:cs="Times New Roman"/>
          <w:b/>
          <w:bCs/>
          <w:kern w:val="0"/>
          <w14:ligatures w14:val="none"/>
        </w:rPr>
      </w:pPr>
      <w:r w:rsidRPr="006E7B6C">
        <w:rPr>
          <w:rFonts w:ascii="Gill Sans MT" w:eastAsia="Times New Roman" w:hAnsi="Gill Sans MT" w:cs="Times New Roman"/>
          <w:b/>
          <w:bCs/>
          <w:kern w:val="0"/>
          <w14:ligatures w14:val="none"/>
        </w:rPr>
        <w:t>Fair</w:t>
      </w:r>
      <w:r w:rsidR="003F315C">
        <w:rPr>
          <w:rFonts w:ascii="Gill Sans MT" w:eastAsia="Times New Roman" w:hAnsi="Gill Sans MT" w:cs="Times New Roman"/>
          <w:b/>
          <w:bCs/>
          <w:kern w:val="0"/>
          <w14:ligatures w14:val="none"/>
        </w:rPr>
        <w:t xml:space="preserve"> </w:t>
      </w:r>
      <w:r w:rsidRPr="006E7B6C">
        <w:rPr>
          <w:rFonts w:ascii="Gill Sans MT" w:eastAsia="Times New Roman" w:hAnsi="Gill Sans MT" w:cs="Times New Roman"/>
          <w:b/>
          <w:bCs/>
          <w:kern w:val="0"/>
          <w14:ligatures w14:val="none"/>
        </w:rPr>
        <w:t>Contracting &amp; Anti-Interference Rules</w:t>
      </w:r>
    </w:p>
    <w:p w14:paraId="5C03D682" w14:textId="48E84C4B" w:rsidR="00F63F25" w:rsidRDefault="00F63F25" w:rsidP="00184735">
      <w:pPr>
        <w:pStyle w:val="ListParagraph"/>
        <w:numPr>
          <w:ilvl w:val="1"/>
          <w:numId w:val="14"/>
        </w:numPr>
        <w:spacing w:after="120" w:line="276" w:lineRule="auto"/>
        <w:ind w:left="450" w:right="-27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Pr="00B56DC1">
        <w:rPr>
          <w:rFonts w:ascii="Gill Sans MT" w:hAnsi="Gill Sans MT"/>
        </w:rPr>
        <w:t xml:space="preserve">ll vendors and their field representatives are hereby notified that any interference—technical, contractual, or verbal—with </w:t>
      </w:r>
      <w:r w:rsidR="00DD7A00">
        <w:rPr>
          <w:rFonts w:ascii="Gill Sans MT" w:hAnsi="Gill Sans MT"/>
        </w:rPr>
        <w:t>the o</w:t>
      </w:r>
      <w:r w:rsidRPr="00B56DC1">
        <w:rPr>
          <w:rFonts w:ascii="Gill Sans MT" w:hAnsi="Gill Sans MT"/>
        </w:rPr>
        <w:t>rganization’s reprocessing program is prohibited.</w:t>
      </w:r>
      <w:r>
        <w:rPr>
          <w:rFonts w:ascii="Gill Sans MT" w:hAnsi="Gill Sans MT"/>
        </w:rPr>
        <w:t xml:space="preserve"> Vendors </w:t>
      </w:r>
      <w:r w:rsidRPr="00F90B19">
        <w:rPr>
          <w:rFonts w:ascii="Gill Sans MT" w:hAnsi="Gill Sans MT"/>
        </w:rPr>
        <w:t xml:space="preserve">are </w:t>
      </w:r>
      <w:r w:rsidRPr="00F90B19">
        <w:rPr>
          <w:rFonts w:ascii="Gill Sans MT" w:hAnsi="Gill Sans MT"/>
        </w:rPr>
        <w:lastRenderedPageBreak/>
        <w:t xml:space="preserve">expected to continue their practices as usual, including the technical support of clinical cases, and are not to interfere in any way with </w:t>
      </w:r>
      <w:r w:rsidR="00DD7A00">
        <w:rPr>
          <w:rFonts w:ascii="Gill Sans MT" w:hAnsi="Gill Sans MT"/>
        </w:rPr>
        <w:t xml:space="preserve">the </w:t>
      </w:r>
      <w:r w:rsidRPr="00F90B19">
        <w:rPr>
          <w:rFonts w:ascii="Gill Sans MT" w:hAnsi="Gill Sans MT"/>
        </w:rPr>
        <w:t>organization’s reprocessing program, including engaging in any activity that undermines the reprocessing program and its financial savings.</w:t>
      </w:r>
    </w:p>
    <w:p w14:paraId="1DB92B8F" w14:textId="2757EAFD" w:rsidR="00F63F25" w:rsidRPr="00F63F25" w:rsidRDefault="00DD7A00" w:rsidP="00184735">
      <w:pPr>
        <w:pStyle w:val="ListParagraph"/>
        <w:numPr>
          <w:ilvl w:val="1"/>
          <w:numId w:val="14"/>
        </w:numPr>
        <w:spacing w:after="120" w:line="276" w:lineRule="auto"/>
        <w:ind w:left="450" w:right="-27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 xml:space="preserve">The organization </w:t>
      </w:r>
      <w:r w:rsidR="00F63F25">
        <w:rPr>
          <w:rFonts w:ascii="Gill Sans MT" w:hAnsi="Gill Sans MT"/>
        </w:rPr>
        <w:t>specifically forbids vendors from engaging in the following activities:</w:t>
      </w:r>
    </w:p>
    <w:p w14:paraId="1E35D620" w14:textId="4CF23DE1" w:rsidR="00FC5FA7" w:rsidRPr="00F63F25" w:rsidRDefault="00F63F25" w:rsidP="00184735">
      <w:pPr>
        <w:pStyle w:val="ListParagraph"/>
        <w:numPr>
          <w:ilvl w:val="3"/>
          <w:numId w:val="14"/>
        </w:numPr>
        <w:shd w:val="clear" w:color="auto" w:fill="FFFFFF"/>
        <w:spacing w:after="120" w:line="240" w:lineRule="auto"/>
        <w:ind w:left="1080" w:right="-274"/>
        <w:contextualSpacing w:val="0"/>
        <w:rPr>
          <w:rFonts w:ascii="Gill Sans MT" w:eastAsia="Times New Roman" w:hAnsi="Gill Sans MT" w:cs="Times New Roman"/>
          <w:kern w:val="0"/>
          <w14:ligatures w14:val="none"/>
        </w:rPr>
      </w:pPr>
      <w:r>
        <w:rPr>
          <w:rFonts w:ascii="Gill Sans MT" w:hAnsi="Gill Sans MT"/>
        </w:rPr>
        <w:t>C</w:t>
      </w:r>
      <w:r w:rsidR="00FC5FA7" w:rsidRPr="00FC5FA7">
        <w:rPr>
          <w:rFonts w:ascii="Gill Sans MT" w:hAnsi="Gill Sans MT"/>
        </w:rPr>
        <w:t>ondition</w:t>
      </w:r>
      <w:r>
        <w:rPr>
          <w:rFonts w:ascii="Gill Sans MT" w:hAnsi="Gill Sans MT"/>
        </w:rPr>
        <w:t>ing</w:t>
      </w:r>
      <w:r w:rsidR="00FC5FA7" w:rsidRPr="00FC5FA7">
        <w:rPr>
          <w:rFonts w:ascii="Gill Sans MT" w:hAnsi="Gill Sans MT"/>
        </w:rPr>
        <w:t xml:space="preserve"> clinical support, software access, warranties, pricing</w:t>
      </w:r>
      <w:r w:rsidR="00FC5FA7">
        <w:rPr>
          <w:rFonts w:ascii="Gill Sans MT" w:hAnsi="Gill Sans MT"/>
        </w:rPr>
        <w:t>, or other services</w:t>
      </w:r>
      <w:r w:rsidR="00FC5FA7" w:rsidRPr="00FC5FA7">
        <w:rPr>
          <w:rFonts w:ascii="Gill Sans MT" w:hAnsi="Gill Sans MT"/>
        </w:rPr>
        <w:t xml:space="preserve"> on exclusive use of Vendor-branded devices.</w:t>
      </w:r>
    </w:p>
    <w:p w14:paraId="3E4E1A90" w14:textId="68D65358" w:rsidR="00184735" w:rsidRDefault="00DF48AD" w:rsidP="00184735">
      <w:pPr>
        <w:pStyle w:val="ListParagraph"/>
        <w:numPr>
          <w:ilvl w:val="3"/>
          <w:numId w:val="14"/>
        </w:numPr>
        <w:shd w:val="clear" w:color="auto" w:fill="FFFFFF"/>
        <w:spacing w:after="120" w:line="240" w:lineRule="auto"/>
        <w:ind w:left="1080" w:right="-274"/>
        <w:contextualSpacing w:val="0"/>
        <w:rPr>
          <w:rFonts w:ascii="Gill Sans MT" w:eastAsia="Times New Roman" w:hAnsi="Gill Sans MT" w:cs="Times New Roman"/>
          <w:kern w:val="0"/>
          <w14:ligatures w14:val="none"/>
        </w:rPr>
      </w:pPr>
      <w:r>
        <w:rPr>
          <w:rFonts w:ascii="Gill Sans MT" w:eastAsia="Times New Roman" w:hAnsi="Gill Sans MT" w:cs="Times New Roman"/>
          <w:kern w:val="0"/>
          <w14:ligatures w14:val="none"/>
        </w:rPr>
        <w:t xml:space="preserve">Implementing new </w:t>
      </w:r>
      <w:r w:rsidR="00FC5FA7" w:rsidRPr="00FC5FA7">
        <w:rPr>
          <w:rFonts w:ascii="Gill Sans MT" w:eastAsia="Times New Roman" w:hAnsi="Gill Sans MT" w:cs="Times New Roman"/>
          <w:i/>
          <w:iCs/>
          <w:kern w:val="0"/>
          <w14:ligatures w14:val="none"/>
        </w:rPr>
        <w:t>kill-chips,</w:t>
      </w:r>
      <w:r w:rsidR="00FC5FA7" w:rsidRPr="00FC5FA7">
        <w:rPr>
          <w:rFonts w:ascii="Gill Sans MT" w:eastAsia="Times New Roman" w:hAnsi="Gill Sans MT" w:cs="Times New Roman"/>
          <w:kern w:val="0"/>
          <w14:ligatures w14:val="none"/>
        </w:rPr>
        <w:t xml:space="preserve"> encryption keys, or other hardware/firmware </w:t>
      </w:r>
      <w:r>
        <w:rPr>
          <w:rFonts w:ascii="Gill Sans MT" w:eastAsia="Times New Roman" w:hAnsi="Gill Sans MT" w:cs="Times New Roman"/>
          <w:kern w:val="0"/>
          <w14:ligatures w14:val="none"/>
        </w:rPr>
        <w:t>“update</w:t>
      </w:r>
      <w:r w:rsidR="00184AAA">
        <w:rPr>
          <w:rFonts w:ascii="Gill Sans MT" w:eastAsia="Times New Roman" w:hAnsi="Gill Sans MT" w:cs="Times New Roman"/>
          <w:kern w:val="0"/>
          <w14:ligatures w14:val="none"/>
        </w:rPr>
        <w:t>s</w:t>
      </w:r>
      <w:r>
        <w:rPr>
          <w:rFonts w:ascii="Gill Sans MT" w:eastAsia="Times New Roman" w:hAnsi="Gill Sans MT" w:cs="Times New Roman"/>
          <w:kern w:val="0"/>
          <w14:ligatures w14:val="none"/>
        </w:rPr>
        <w:t xml:space="preserve">” </w:t>
      </w:r>
      <w:r w:rsidR="00FC5FA7" w:rsidRPr="00FC5FA7">
        <w:rPr>
          <w:rFonts w:ascii="Gill Sans MT" w:eastAsia="Times New Roman" w:hAnsi="Gill Sans MT" w:cs="Times New Roman"/>
          <w:kern w:val="0"/>
          <w14:ligatures w14:val="none"/>
        </w:rPr>
        <w:t>intended to disable reprocessed SUDs.</w:t>
      </w:r>
    </w:p>
    <w:p w14:paraId="2AE11C48" w14:textId="77777777" w:rsidR="00184735" w:rsidRDefault="00F63F25" w:rsidP="00184735">
      <w:pPr>
        <w:pStyle w:val="ListParagraph"/>
        <w:numPr>
          <w:ilvl w:val="3"/>
          <w:numId w:val="14"/>
        </w:numPr>
        <w:shd w:val="clear" w:color="auto" w:fill="FFFFFF"/>
        <w:spacing w:after="120" w:line="240" w:lineRule="auto"/>
        <w:ind w:left="1080" w:right="-274"/>
        <w:contextualSpacing w:val="0"/>
        <w:rPr>
          <w:rFonts w:ascii="Gill Sans MT" w:eastAsia="Times New Roman" w:hAnsi="Gill Sans MT" w:cs="Times New Roman"/>
          <w:kern w:val="0"/>
          <w14:ligatures w14:val="none"/>
        </w:rPr>
      </w:pPr>
      <w:r w:rsidRPr="00184735">
        <w:rPr>
          <w:rFonts w:ascii="Gill Sans MT" w:eastAsia="Times New Roman" w:hAnsi="Gill Sans MT" w:cs="Times New Roman"/>
          <w:kern w:val="0"/>
          <w14:ligatures w14:val="none"/>
        </w:rPr>
        <w:t>R</w:t>
      </w:r>
      <w:r w:rsidR="00FC5FA7" w:rsidRPr="00184735">
        <w:rPr>
          <w:rFonts w:ascii="Gill Sans MT" w:eastAsia="Times New Roman" w:hAnsi="Gill Sans MT" w:cs="Times New Roman"/>
          <w:kern w:val="0"/>
          <w14:ligatures w14:val="none"/>
        </w:rPr>
        <w:t>etain</w:t>
      </w:r>
      <w:r w:rsidRPr="00184735">
        <w:rPr>
          <w:rFonts w:ascii="Gill Sans MT" w:eastAsia="Times New Roman" w:hAnsi="Gill Sans MT" w:cs="Times New Roman"/>
          <w:kern w:val="0"/>
          <w14:ligatures w14:val="none"/>
        </w:rPr>
        <w:t>ing</w:t>
      </w:r>
      <w:r w:rsidR="00FC5FA7" w:rsidRPr="00184735">
        <w:rPr>
          <w:rFonts w:ascii="Gill Sans MT" w:eastAsia="Times New Roman" w:hAnsi="Gill Sans MT" w:cs="Times New Roman"/>
          <w:kern w:val="0"/>
          <w14:ligatures w14:val="none"/>
        </w:rPr>
        <w:t>, withhold</w:t>
      </w:r>
      <w:r w:rsidRPr="00184735">
        <w:rPr>
          <w:rFonts w:ascii="Gill Sans MT" w:eastAsia="Times New Roman" w:hAnsi="Gill Sans MT" w:cs="Times New Roman"/>
          <w:kern w:val="0"/>
          <w14:ligatures w14:val="none"/>
        </w:rPr>
        <w:t>ing</w:t>
      </w:r>
      <w:r w:rsidR="00FC5FA7" w:rsidRPr="00184735">
        <w:rPr>
          <w:rFonts w:ascii="Gill Sans MT" w:eastAsia="Times New Roman" w:hAnsi="Gill Sans MT" w:cs="Times New Roman"/>
          <w:kern w:val="0"/>
          <w14:ligatures w14:val="none"/>
        </w:rPr>
        <w:t>, or destroy</w:t>
      </w:r>
      <w:r w:rsidRPr="00184735">
        <w:rPr>
          <w:rFonts w:ascii="Gill Sans MT" w:eastAsia="Times New Roman" w:hAnsi="Gill Sans MT" w:cs="Times New Roman"/>
          <w:kern w:val="0"/>
          <w14:ligatures w14:val="none"/>
        </w:rPr>
        <w:t xml:space="preserve">ing </w:t>
      </w:r>
      <w:r w:rsidR="00FC5FA7" w:rsidRPr="00184735">
        <w:rPr>
          <w:rFonts w:ascii="Gill Sans MT" w:eastAsia="Times New Roman" w:hAnsi="Gill Sans MT" w:cs="Times New Roman"/>
          <w:kern w:val="0"/>
          <w14:ligatures w14:val="none"/>
        </w:rPr>
        <w:t>used devices</w:t>
      </w:r>
      <w:r w:rsidRPr="00184735">
        <w:rPr>
          <w:rFonts w:ascii="Gill Sans MT" w:eastAsia="Times New Roman" w:hAnsi="Gill Sans MT" w:cs="Times New Roman"/>
          <w:kern w:val="0"/>
          <w14:ligatures w14:val="none"/>
        </w:rPr>
        <w:t xml:space="preserve"> that the vendor does not have clearance to reprocess</w:t>
      </w:r>
      <w:r w:rsidR="00FC5FA7" w:rsidRPr="00184735">
        <w:rPr>
          <w:rFonts w:ascii="Gill Sans MT" w:eastAsia="Times New Roman" w:hAnsi="Gill Sans MT" w:cs="Times New Roman"/>
          <w:kern w:val="0"/>
          <w14:ligatures w14:val="none"/>
        </w:rPr>
        <w:t xml:space="preserve"> </w:t>
      </w:r>
      <w:r w:rsidRPr="00184735">
        <w:rPr>
          <w:rFonts w:ascii="Gill Sans MT" w:eastAsia="Times New Roman" w:hAnsi="Gill Sans MT" w:cs="Times New Roman"/>
          <w:kern w:val="0"/>
          <w14:ligatures w14:val="none"/>
        </w:rPr>
        <w:t xml:space="preserve">themselves, </w:t>
      </w:r>
      <w:r w:rsidR="00FC5FA7" w:rsidRPr="00184735">
        <w:rPr>
          <w:rFonts w:ascii="Gill Sans MT" w:eastAsia="Times New Roman" w:hAnsi="Gill Sans MT" w:cs="Times New Roman"/>
          <w:kern w:val="0"/>
          <w14:ligatures w14:val="none"/>
        </w:rPr>
        <w:t>for the purpose of preventing reprocessing</w:t>
      </w:r>
      <w:r w:rsidRPr="00184735">
        <w:rPr>
          <w:rFonts w:ascii="Gill Sans MT" w:eastAsia="Times New Roman" w:hAnsi="Gill Sans MT" w:cs="Times New Roman"/>
          <w:kern w:val="0"/>
          <w14:ligatures w14:val="none"/>
        </w:rPr>
        <w:t xml:space="preserve"> by competitors</w:t>
      </w:r>
      <w:r w:rsidR="00FC5FA7" w:rsidRPr="00184735">
        <w:rPr>
          <w:rFonts w:ascii="Gill Sans MT" w:eastAsia="Times New Roman" w:hAnsi="Gill Sans MT" w:cs="Times New Roman"/>
          <w:kern w:val="0"/>
          <w14:ligatures w14:val="none"/>
        </w:rPr>
        <w:t>.</w:t>
      </w:r>
    </w:p>
    <w:p w14:paraId="696809BB" w14:textId="19529BA4" w:rsidR="00CA5104" w:rsidRPr="00184735" w:rsidRDefault="00FC5FA7" w:rsidP="00184735">
      <w:pPr>
        <w:pStyle w:val="ListParagraph"/>
        <w:numPr>
          <w:ilvl w:val="1"/>
          <w:numId w:val="14"/>
        </w:numPr>
        <w:shd w:val="clear" w:color="auto" w:fill="FFFFFF"/>
        <w:spacing w:after="120" w:line="240" w:lineRule="auto"/>
        <w:ind w:left="450" w:right="-274"/>
        <w:contextualSpacing w:val="0"/>
        <w:rPr>
          <w:rFonts w:ascii="Gill Sans MT" w:eastAsia="Times New Roman" w:hAnsi="Gill Sans MT" w:cs="Times New Roman"/>
          <w:kern w:val="0"/>
          <w14:ligatures w14:val="none"/>
        </w:rPr>
      </w:pPr>
      <w:r w:rsidRPr="00184735">
        <w:rPr>
          <w:rFonts w:ascii="Gill Sans MT" w:eastAsia="Times New Roman" w:hAnsi="Gill Sans MT" w:cs="Times New Roman"/>
          <w:kern w:val="0"/>
          <w14:ligatures w14:val="none"/>
        </w:rPr>
        <w:t xml:space="preserve">Breach of any item above constitutes material default; </w:t>
      </w:r>
      <w:r w:rsidR="003B46D2">
        <w:rPr>
          <w:rFonts w:ascii="Gill Sans MT" w:eastAsia="Times New Roman" w:hAnsi="Gill Sans MT" w:cs="Times New Roman"/>
          <w:kern w:val="0"/>
          <w14:ligatures w14:val="none"/>
        </w:rPr>
        <w:t>t</w:t>
      </w:r>
      <w:r w:rsidR="00DD7A00" w:rsidRPr="00184735">
        <w:rPr>
          <w:rFonts w:ascii="Gill Sans MT" w:eastAsia="Times New Roman" w:hAnsi="Gill Sans MT" w:cs="Times New Roman"/>
          <w:kern w:val="0"/>
          <w14:ligatures w14:val="none"/>
        </w:rPr>
        <w:t>he o</w:t>
      </w:r>
      <w:r w:rsidRPr="00184735">
        <w:rPr>
          <w:rFonts w:ascii="Gill Sans MT" w:eastAsia="Times New Roman" w:hAnsi="Gill Sans MT" w:cs="Times New Roman"/>
          <w:kern w:val="0"/>
          <w14:ligatures w14:val="none"/>
        </w:rPr>
        <w:t>rganization may terminate the agreement, seek damages, and report the violation to the Federal Trade Commission or other authorities.</w:t>
      </w:r>
    </w:p>
    <w:p w14:paraId="75EE7ED9" w14:textId="5E844A40" w:rsidR="00FC5FA7" w:rsidRPr="00F63F25" w:rsidRDefault="00FC5FA7" w:rsidP="00184735">
      <w:pPr>
        <w:pStyle w:val="ListParagraph"/>
        <w:numPr>
          <w:ilvl w:val="1"/>
          <w:numId w:val="14"/>
        </w:numPr>
        <w:shd w:val="clear" w:color="auto" w:fill="FFFFFF"/>
        <w:spacing w:after="120" w:line="240" w:lineRule="auto"/>
        <w:ind w:left="450" w:right="-274"/>
        <w:contextualSpacing w:val="0"/>
        <w:rPr>
          <w:rFonts w:ascii="Gill Sans MT" w:eastAsia="Times New Roman" w:hAnsi="Gill Sans MT" w:cs="Times New Roman"/>
          <w:kern w:val="0"/>
          <w14:ligatures w14:val="none"/>
        </w:rPr>
      </w:pPr>
      <w:r w:rsidRPr="00F63F25">
        <w:rPr>
          <w:rFonts w:ascii="Gill Sans MT" w:eastAsia="Times New Roman" w:hAnsi="Gill Sans MT" w:cs="Times New Roman"/>
          <w:i/>
          <w:iCs/>
          <w:kern w:val="0"/>
          <w14:ligatures w14:val="none"/>
        </w:rPr>
        <w:t>Legal precedent:</w:t>
      </w:r>
      <w:r w:rsidRPr="00F63F25">
        <w:rPr>
          <w:rFonts w:ascii="Gill Sans MT" w:eastAsia="Times New Roman" w:hAnsi="Gill Sans MT" w:cs="Times New Roman"/>
          <w:kern w:val="0"/>
          <w14:ligatures w14:val="none"/>
        </w:rPr>
        <w:t xml:space="preserve"> In </w:t>
      </w:r>
      <w:r w:rsidRPr="00F63F25">
        <w:rPr>
          <w:rFonts w:ascii="Gill Sans MT" w:eastAsia="Times New Roman" w:hAnsi="Gill Sans MT" w:cs="Times New Roman"/>
          <w:i/>
          <w:iCs/>
          <w:kern w:val="0"/>
          <w14:ligatures w14:val="none"/>
        </w:rPr>
        <w:t xml:space="preserve">Innovative Health LLC v. </w:t>
      </w:r>
      <w:proofErr w:type="spellStart"/>
      <w:r w:rsidRPr="00F63F25">
        <w:rPr>
          <w:rFonts w:ascii="Gill Sans MT" w:eastAsia="Times New Roman" w:hAnsi="Gill Sans MT" w:cs="Times New Roman"/>
          <w:i/>
          <w:iCs/>
          <w:kern w:val="0"/>
          <w14:ligatures w14:val="none"/>
        </w:rPr>
        <w:t>Biosense</w:t>
      </w:r>
      <w:proofErr w:type="spellEnd"/>
      <w:r w:rsidRPr="00F63F25">
        <w:rPr>
          <w:rFonts w:ascii="Gill Sans MT" w:eastAsia="Times New Roman" w:hAnsi="Gill Sans MT" w:cs="Times New Roman"/>
          <w:i/>
          <w:iCs/>
          <w:kern w:val="0"/>
          <w14:ligatures w14:val="none"/>
        </w:rPr>
        <w:t xml:space="preserve"> Webster, Inc.</w:t>
      </w:r>
      <w:r w:rsidRPr="00CA5104">
        <w:rPr>
          <w:rFonts w:ascii="Gill Sans MT" w:eastAsia="Times New Roman" w:hAnsi="Gill Sans MT" w:cs="Times New Roman"/>
          <w:kern w:val="0"/>
          <w14:ligatures w14:val="none"/>
        </w:rPr>
        <w:t>,</w:t>
      </w:r>
      <w:r w:rsidRPr="00F63F25">
        <w:rPr>
          <w:rFonts w:ascii="Gill Sans MT" w:eastAsia="Times New Roman" w:hAnsi="Gill Sans MT" w:cs="Times New Roman"/>
          <w:kern w:val="0"/>
          <w14:ligatures w14:val="none"/>
        </w:rPr>
        <w:t xml:space="preserve"> a </w:t>
      </w:r>
      <w:r w:rsidR="00E0478F">
        <w:rPr>
          <w:rFonts w:ascii="Gill Sans MT" w:eastAsia="Times New Roman" w:hAnsi="Gill Sans MT" w:cs="Times New Roman"/>
          <w:kern w:val="0"/>
          <w14:ligatures w14:val="none"/>
        </w:rPr>
        <w:t xml:space="preserve">jury in a </w:t>
      </w:r>
      <w:r w:rsidRPr="00F63F25">
        <w:rPr>
          <w:rFonts w:ascii="Gill Sans MT" w:eastAsia="Times New Roman" w:hAnsi="Gill Sans MT" w:cs="Times New Roman"/>
          <w:kern w:val="0"/>
          <w14:ligatures w14:val="none"/>
        </w:rPr>
        <w:t>federal court</w:t>
      </w:r>
      <w:r w:rsidR="00CA5104" w:rsidRPr="00CA5104">
        <w:rPr>
          <w:rFonts w:ascii="Gill Sans MT" w:eastAsia="Times New Roman" w:hAnsi="Gill Sans MT" w:cs="Times New Roman"/>
          <w:kern w:val="0"/>
          <w14:ligatures w14:val="none"/>
        </w:rPr>
        <w:t xml:space="preserve"> found the above</w:t>
      </w:r>
      <w:r w:rsidRPr="00F63F25">
        <w:rPr>
          <w:rFonts w:ascii="Gill Sans MT" w:eastAsia="Times New Roman" w:hAnsi="Gill Sans MT" w:cs="Times New Roman"/>
          <w:kern w:val="0"/>
          <w14:ligatures w14:val="none"/>
        </w:rPr>
        <w:t xml:space="preserve"> </w:t>
      </w:r>
      <w:r w:rsidR="00F63F25">
        <w:rPr>
          <w:rFonts w:ascii="Gill Sans MT" w:eastAsia="Times New Roman" w:hAnsi="Gill Sans MT" w:cs="Times New Roman"/>
          <w:kern w:val="0"/>
          <w14:ligatures w14:val="none"/>
        </w:rPr>
        <w:t>activities</w:t>
      </w:r>
      <w:r w:rsidR="00CA5104" w:rsidRPr="00CA5104">
        <w:rPr>
          <w:rFonts w:ascii="Gill Sans MT" w:eastAsia="Times New Roman" w:hAnsi="Gill Sans MT" w:cs="Times New Roman"/>
          <w:kern w:val="0"/>
          <w14:ligatures w14:val="none"/>
        </w:rPr>
        <w:t xml:space="preserve"> to be in violation of state and federal antitrust and monopoly statues, </w:t>
      </w:r>
      <w:r w:rsidR="00E0478F">
        <w:rPr>
          <w:rFonts w:ascii="Gill Sans MT" w:eastAsia="Times New Roman" w:hAnsi="Gill Sans MT" w:cs="Times New Roman"/>
          <w:kern w:val="0"/>
          <w14:ligatures w14:val="none"/>
        </w:rPr>
        <w:t xml:space="preserve">and the judge </w:t>
      </w:r>
      <w:r w:rsidR="00CA5104" w:rsidRPr="00CA5104">
        <w:rPr>
          <w:rFonts w:ascii="Gill Sans MT" w:eastAsia="Times New Roman" w:hAnsi="Gill Sans MT" w:cs="Times New Roman"/>
          <w:kern w:val="0"/>
          <w14:ligatures w14:val="none"/>
        </w:rPr>
        <w:t xml:space="preserve">awarded over $442 million in damages, and </w:t>
      </w:r>
      <w:r w:rsidRPr="00F63F25">
        <w:rPr>
          <w:rFonts w:ascii="Gill Sans MT" w:eastAsia="Times New Roman" w:hAnsi="Gill Sans MT" w:cs="Times New Roman"/>
          <w:kern w:val="0"/>
          <w14:ligatures w14:val="none"/>
        </w:rPr>
        <w:t>issued a five-year injunction</w:t>
      </w:r>
      <w:r w:rsidR="00CA5104" w:rsidRPr="00CA5104">
        <w:rPr>
          <w:rFonts w:ascii="Gill Sans MT" w:eastAsia="Times New Roman" w:hAnsi="Gill Sans MT" w:cs="Times New Roman"/>
          <w:kern w:val="0"/>
          <w14:ligatures w14:val="none"/>
        </w:rPr>
        <w:t xml:space="preserve"> enjoining a major OEM from continuing them (see </w:t>
      </w:r>
      <w:hyperlink r:id="rId10" w:history="1">
        <w:r w:rsidR="00CA5104" w:rsidRPr="00CA5104">
          <w:rPr>
            <w:rStyle w:val="Hyperlink"/>
            <w:rFonts w:ascii="Gill Sans MT" w:eastAsia="Times New Roman" w:hAnsi="Gill Sans MT" w:cs="Times New Roman"/>
            <w:kern w:val="0"/>
            <w14:ligatures w14:val="none"/>
          </w:rPr>
          <w:t>amdr.org/</w:t>
        </w:r>
        <w:proofErr w:type="spellStart"/>
        <w:r w:rsidR="00CA5104" w:rsidRPr="00CA5104">
          <w:rPr>
            <w:rStyle w:val="Hyperlink"/>
            <w:rFonts w:ascii="Gill Sans MT" w:eastAsia="Times New Roman" w:hAnsi="Gill Sans MT" w:cs="Times New Roman"/>
            <w:kern w:val="0"/>
            <w14:ligatures w14:val="none"/>
          </w:rPr>
          <w:t>courtcase</w:t>
        </w:r>
        <w:proofErr w:type="spellEnd"/>
      </w:hyperlink>
      <w:r w:rsidR="00CA5104" w:rsidRPr="00CA5104">
        <w:rPr>
          <w:rFonts w:ascii="Gill Sans MT" w:eastAsia="Times New Roman" w:hAnsi="Gill Sans MT" w:cs="Times New Roman"/>
          <w:kern w:val="0"/>
          <w14:ligatures w14:val="none"/>
        </w:rPr>
        <w:t>).</w:t>
      </w:r>
    </w:p>
    <w:p w14:paraId="3EC88A44" w14:textId="75C4E3DE" w:rsidR="00AF214A" w:rsidRPr="006E7B6C" w:rsidRDefault="00AF214A" w:rsidP="00184735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ind w:left="0" w:right="-274"/>
        <w:contextualSpacing w:val="0"/>
        <w:rPr>
          <w:rFonts w:ascii="Gill Sans MT" w:eastAsia="Times New Roman" w:hAnsi="Gill Sans MT" w:cs="Times New Roman"/>
          <w:b/>
          <w:bCs/>
          <w:kern w:val="0"/>
          <w14:ligatures w14:val="none"/>
        </w:rPr>
      </w:pPr>
      <w:r w:rsidRPr="006E7B6C">
        <w:rPr>
          <w:rFonts w:ascii="Gill Sans MT" w:eastAsia="Times New Roman" w:hAnsi="Gill Sans MT" w:cs="Times New Roman"/>
          <w:b/>
          <w:bCs/>
          <w:kern w:val="0"/>
          <w14:ligatures w14:val="none"/>
        </w:rPr>
        <w:t>Vendor Conduct &amp; Communications</w:t>
      </w:r>
    </w:p>
    <w:p w14:paraId="7326DA91" w14:textId="5D0637BA" w:rsidR="00A311D0" w:rsidRPr="006E7B6C" w:rsidRDefault="00CA5104" w:rsidP="00184735">
      <w:pPr>
        <w:pStyle w:val="ListParagraph"/>
        <w:numPr>
          <w:ilvl w:val="1"/>
          <w:numId w:val="14"/>
        </w:numPr>
        <w:shd w:val="clear" w:color="auto" w:fill="FFFFFF"/>
        <w:spacing w:after="120" w:line="276" w:lineRule="auto"/>
        <w:ind w:left="450" w:right="-274"/>
        <w:contextualSpacing w:val="0"/>
        <w:rPr>
          <w:rFonts w:ascii="Gill Sans MT" w:eastAsia="Times New Roman" w:hAnsi="Gill Sans MT" w:cs="Times New Roman"/>
          <w:kern w:val="0"/>
          <w14:ligatures w14:val="none"/>
        </w:rPr>
      </w:pPr>
      <w:r w:rsidRPr="006E7B6C">
        <w:rPr>
          <w:rFonts w:ascii="Gill Sans MT" w:hAnsi="Gill Sans MT"/>
        </w:rPr>
        <w:t>Per §</w:t>
      </w:r>
      <w:r w:rsidR="00184735">
        <w:rPr>
          <w:rFonts w:ascii="Gill Sans MT" w:hAnsi="Gill Sans MT"/>
        </w:rPr>
        <w:t>3.1</w:t>
      </w:r>
      <w:r w:rsidRPr="006E7B6C">
        <w:rPr>
          <w:rFonts w:ascii="Gill Sans MT" w:hAnsi="Gill Sans MT"/>
        </w:rPr>
        <w:t xml:space="preserve">, </w:t>
      </w:r>
      <w:r w:rsidR="00A311D0" w:rsidRPr="006E7B6C">
        <w:rPr>
          <w:rFonts w:ascii="Gill Sans MT" w:hAnsi="Gill Sans MT"/>
        </w:rPr>
        <w:t xml:space="preserve">OEMs of SUDs or their representatives are not to disseminate </w:t>
      </w:r>
      <w:r w:rsidR="00184735" w:rsidRPr="006E7B6C">
        <w:rPr>
          <w:rFonts w:ascii="Gill Sans MT" w:hAnsi="Gill Sans MT"/>
        </w:rPr>
        <w:t xml:space="preserve">at our facility </w:t>
      </w:r>
      <w:r w:rsidR="00E0478F">
        <w:rPr>
          <w:rFonts w:ascii="Gill Sans MT" w:hAnsi="Gill Sans MT"/>
        </w:rPr>
        <w:t>white paper</w:t>
      </w:r>
      <w:r w:rsidR="00582EB9">
        <w:rPr>
          <w:rFonts w:ascii="Gill Sans MT" w:hAnsi="Gill Sans MT"/>
        </w:rPr>
        <w:t>s</w:t>
      </w:r>
      <w:r w:rsidR="00E0478F">
        <w:rPr>
          <w:rFonts w:ascii="Gill Sans MT" w:hAnsi="Gill Sans MT"/>
        </w:rPr>
        <w:t xml:space="preserve"> or other </w:t>
      </w:r>
      <w:r w:rsidR="00A311D0" w:rsidRPr="006E7B6C">
        <w:rPr>
          <w:rFonts w:ascii="Gill Sans MT" w:hAnsi="Gill Sans MT"/>
        </w:rPr>
        <w:t>literature</w:t>
      </w:r>
      <w:r w:rsidR="00582EB9">
        <w:rPr>
          <w:rFonts w:ascii="Gill Sans MT" w:hAnsi="Gill Sans MT"/>
        </w:rPr>
        <w:t>,</w:t>
      </w:r>
      <w:r w:rsidR="00E0478F">
        <w:rPr>
          <w:rFonts w:ascii="Gill Sans MT" w:hAnsi="Gill Sans MT"/>
        </w:rPr>
        <w:t xml:space="preserve"> including that which has not gone through peer review</w:t>
      </w:r>
      <w:r w:rsidR="00582EB9">
        <w:rPr>
          <w:rFonts w:ascii="Gill Sans MT" w:hAnsi="Gill Sans MT"/>
        </w:rPr>
        <w:t>,</w:t>
      </w:r>
      <w:r w:rsidR="00A311D0" w:rsidRPr="006E7B6C">
        <w:rPr>
          <w:rFonts w:ascii="Gill Sans MT" w:hAnsi="Gill Sans MT"/>
        </w:rPr>
        <w:t xml:space="preserve"> that uses false</w:t>
      </w:r>
      <w:r w:rsidR="00E0478F">
        <w:rPr>
          <w:rFonts w:ascii="Gill Sans MT" w:hAnsi="Gill Sans MT"/>
        </w:rPr>
        <w:t xml:space="preserve"> or questionable</w:t>
      </w:r>
      <w:r w:rsidR="00A311D0" w:rsidRPr="006E7B6C">
        <w:rPr>
          <w:rFonts w:ascii="Gill Sans MT" w:hAnsi="Gill Sans MT"/>
        </w:rPr>
        <w:t xml:space="preserve"> claims </w:t>
      </w:r>
      <w:r w:rsidR="00E0478F">
        <w:rPr>
          <w:rFonts w:ascii="Gill Sans MT" w:hAnsi="Gill Sans MT"/>
        </w:rPr>
        <w:t>regarding</w:t>
      </w:r>
      <w:r w:rsidR="00A311D0" w:rsidRPr="006E7B6C">
        <w:rPr>
          <w:rFonts w:ascii="Gill Sans MT" w:hAnsi="Gill Sans MT"/>
        </w:rPr>
        <w:t xml:space="preserve"> the safety or functionality of reprocessed SUDs. For example, industry funded studies that do not explain the chain of custody of reprocessed </w:t>
      </w:r>
      <w:r w:rsidR="00184735">
        <w:rPr>
          <w:rFonts w:ascii="Gill Sans MT" w:hAnsi="Gill Sans MT"/>
        </w:rPr>
        <w:t>SUDs</w:t>
      </w:r>
      <w:r w:rsidR="00A311D0" w:rsidRPr="006E7B6C">
        <w:rPr>
          <w:rFonts w:ascii="Gill Sans MT" w:hAnsi="Gill Sans MT"/>
        </w:rPr>
        <w:t xml:space="preserve"> studied, are not to be disseminated.</w:t>
      </w:r>
    </w:p>
    <w:p w14:paraId="20615684" w14:textId="77777777" w:rsidR="006E7B6C" w:rsidRDefault="00AF214A" w:rsidP="00184735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ind w:left="0" w:right="-274"/>
        <w:contextualSpacing w:val="0"/>
        <w:rPr>
          <w:rFonts w:ascii="Gill Sans MT" w:eastAsia="Times New Roman" w:hAnsi="Gill Sans MT" w:cs="Times New Roman"/>
          <w:b/>
          <w:bCs/>
          <w:kern w:val="0"/>
          <w14:ligatures w14:val="none"/>
        </w:rPr>
      </w:pPr>
      <w:r w:rsidRPr="006E7B6C">
        <w:rPr>
          <w:rFonts w:ascii="Gill Sans MT" w:eastAsia="Times New Roman" w:hAnsi="Gill Sans MT" w:cs="Times New Roman"/>
          <w:b/>
          <w:bCs/>
          <w:kern w:val="0"/>
          <w14:ligatures w14:val="none"/>
        </w:rPr>
        <w:t>Incident Reporting &amp; Remedies</w:t>
      </w:r>
    </w:p>
    <w:p w14:paraId="1F17DD2B" w14:textId="51C3E442" w:rsidR="00C75BF7" w:rsidRPr="003C682A" w:rsidRDefault="00C75BF7" w:rsidP="00184735">
      <w:pPr>
        <w:pStyle w:val="ListParagraph"/>
        <w:numPr>
          <w:ilvl w:val="2"/>
          <w:numId w:val="14"/>
        </w:numPr>
        <w:shd w:val="clear" w:color="auto" w:fill="FFFFFF"/>
        <w:spacing w:after="120" w:line="240" w:lineRule="auto"/>
        <w:ind w:left="540" w:right="-274" w:hanging="540"/>
        <w:contextualSpacing w:val="0"/>
        <w:rPr>
          <w:rFonts w:ascii="Gill Sans MT" w:eastAsia="Times New Roman" w:hAnsi="Gill Sans MT" w:cs="Times New Roman"/>
          <w:kern w:val="0"/>
          <w14:ligatures w14:val="none"/>
        </w:rPr>
      </w:pPr>
      <w:r w:rsidRPr="003C682A">
        <w:rPr>
          <w:rFonts w:ascii="Gill Sans MT" w:eastAsia="Times New Roman" w:hAnsi="Gill Sans MT" w:cs="Times New Roman"/>
          <w:kern w:val="0"/>
          <w14:ligatures w14:val="none"/>
        </w:rPr>
        <w:t>Staff who observe or suspect vendor interference</w:t>
      </w:r>
      <w:r w:rsidR="00E0478F">
        <w:rPr>
          <w:rFonts w:ascii="Gill Sans MT" w:eastAsia="Times New Roman" w:hAnsi="Gill Sans MT" w:cs="Times New Roman"/>
          <w:kern w:val="0"/>
          <w14:ligatures w14:val="none"/>
        </w:rPr>
        <w:t xml:space="preserve"> with the organization’s goals</w:t>
      </w:r>
      <w:r w:rsidRPr="003C682A">
        <w:rPr>
          <w:rFonts w:ascii="Gill Sans MT" w:eastAsia="Times New Roman" w:hAnsi="Gill Sans MT" w:cs="Times New Roman"/>
          <w:kern w:val="0"/>
          <w14:ligatures w14:val="none"/>
        </w:rPr>
        <w:t xml:space="preserve"> should</w:t>
      </w:r>
      <w:r w:rsidR="003C682A" w:rsidRPr="003C682A">
        <w:rPr>
          <w:rFonts w:ascii="Gill Sans MT" w:eastAsia="Times New Roman" w:hAnsi="Gill Sans MT" w:cs="Times New Roman"/>
          <w:kern w:val="0"/>
          <w14:ligatures w14:val="none"/>
        </w:rPr>
        <w:t xml:space="preserve"> d</w:t>
      </w:r>
      <w:r w:rsidRPr="003C682A">
        <w:rPr>
          <w:rFonts w:ascii="Gill Sans MT" w:eastAsia="Times New Roman" w:hAnsi="Gill Sans MT" w:cs="Times New Roman"/>
          <w:kern w:val="0"/>
          <w14:ligatures w14:val="none"/>
        </w:rPr>
        <w:t>ocument the incident (date, device, people involved)</w:t>
      </w:r>
      <w:r w:rsidR="003C682A" w:rsidRPr="003C682A">
        <w:rPr>
          <w:rFonts w:ascii="Gill Sans MT" w:eastAsia="Times New Roman" w:hAnsi="Gill Sans MT" w:cs="Times New Roman"/>
          <w:kern w:val="0"/>
          <w14:ligatures w14:val="none"/>
        </w:rPr>
        <w:t>,</w:t>
      </w:r>
      <w:r w:rsidR="003C682A">
        <w:rPr>
          <w:rFonts w:ascii="Gill Sans MT" w:eastAsia="Times New Roman" w:hAnsi="Gill Sans MT" w:cs="Times New Roman"/>
          <w:kern w:val="0"/>
          <w14:ligatures w14:val="none"/>
        </w:rPr>
        <w:t xml:space="preserve"> n</w:t>
      </w:r>
      <w:r w:rsidRPr="003C682A">
        <w:rPr>
          <w:rFonts w:ascii="Gill Sans MT" w:eastAsia="Times New Roman" w:hAnsi="Gill Sans MT" w:cs="Times New Roman"/>
          <w:kern w:val="0"/>
          <w14:ligatures w14:val="none"/>
        </w:rPr>
        <w:t xml:space="preserve">otify </w:t>
      </w:r>
      <w:r w:rsidR="00184735">
        <w:rPr>
          <w:rFonts w:ascii="Gill Sans MT" w:eastAsia="Times New Roman" w:hAnsi="Gill Sans MT" w:cs="Times New Roman"/>
          <w:kern w:val="0"/>
          <w14:ligatures w14:val="none"/>
        </w:rPr>
        <w:t>s</w:t>
      </w:r>
      <w:r w:rsidR="00E0478F">
        <w:rPr>
          <w:rFonts w:ascii="Gill Sans MT" w:eastAsia="Times New Roman" w:hAnsi="Gill Sans MT" w:cs="Times New Roman"/>
          <w:kern w:val="0"/>
          <w14:ligatures w14:val="none"/>
        </w:rPr>
        <w:t xml:space="preserve">upply </w:t>
      </w:r>
      <w:r w:rsidR="00184735">
        <w:rPr>
          <w:rFonts w:ascii="Gill Sans MT" w:eastAsia="Times New Roman" w:hAnsi="Gill Sans MT" w:cs="Times New Roman"/>
          <w:kern w:val="0"/>
          <w14:ligatures w14:val="none"/>
        </w:rPr>
        <w:t>c</w:t>
      </w:r>
      <w:r w:rsidR="00E0478F">
        <w:rPr>
          <w:rFonts w:ascii="Gill Sans MT" w:eastAsia="Times New Roman" w:hAnsi="Gill Sans MT" w:cs="Times New Roman"/>
          <w:kern w:val="0"/>
          <w14:ligatures w14:val="none"/>
        </w:rPr>
        <w:t>hain</w:t>
      </w:r>
      <w:r w:rsidR="00184735">
        <w:rPr>
          <w:rFonts w:ascii="Gill Sans MT" w:eastAsia="Times New Roman" w:hAnsi="Gill Sans MT" w:cs="Times New Roman"/>
          <w:kern w:val="0"/>
          <w14:ligatures w14:val="none"/>
        </w:rPr>
        <w:t>,</w:t>
      </w:r>
      <w:r w:rsidR="00E0478F">
        <w:rPr>
          <w:rFonts w:ascii="Gill Sans MT" w:eastAsia="Times New Roman" w:hAnsi="Gill Sans MT" w:cs="Times New Roman"/>
          <w:kern w:val="0"/>
          <w14:ligatures w14:val="none"/>
        </w:rPr>
        <w:t xml:space="preserve"> legal</w:t>
      </w:r>
      <w:r w:rsidR="00184735">
        <w:rPr>
          <w:rFonts w:ascii="Gill Sans MT" w:eastAsia="Times New Roman" w:hAnsi="Gill Sans MT" w:cs="Times New Roman"/>
          <w:kern w:val="0"/>
          <w14:ligatures w14:val="none"/>
        </w:rPr>
        <w:t xml:space="preserve">, or other relevant </w:t>
      </w:r>
      <w:r w:rsidR="00E0478F">
        <w:rPr>
          <w:rFonts w:ascii="Gill Sans MT" w:eastAsia="Times New Roman" w:hAnsi="Gill Sans MT" w:cs="Times New Roman"/>
          <w:kern w:val="0"/>
          <w14:ligatures w14:val="none"/>
        </w:rPr>
        <w:t>department</w:t>
      </w:r>
      <w:r w:rsidR="00184735">
        <w:rPr>
          <w:rFonts w:ascii="Gill Sans MT" w:eastAsia="Times New Roman" w:hAnsi="Gill Sans MT" w:cs="Times New Roman"/>
          <w:kern w:val="0"/>
          <w14:ligatures w14:val="none"/>
        </w:rPr>
        <w:t xml:space="preserve">s </w:t>
      </w:r>
      <w:r w:rsidRPr="003C682A">
        <w:rPr>
          <w:rFonts w:ascii="Gill Sans MT" w:eastAsia="Times New Roman" w:hAnsi="Gill Sans MT" w:cs="Times New Roman"/>
          <w:kern w:val="0"/>
          <w14:ligatures w14:val="none"/>
        </w:rPr>
        <w:t>within 24 hours</w:t>
      </w:r>
      <w:r w:rsidR="003C682A">
        <w:rPr>
          <w:rFonts w:ascii="Gill Sans MT" w:eastAsia="Times New Roman" w:hAnsi="Gill Sans MT" w:cs="Times New Roman"/>
          <w:kern w:val="0"/>
          <w14:ligatures w14:val="none"/>
        </w:rPr>
        <w:t>, and r</w:t>
      </w:r>
      <w:r w:rsidRPr="003C682A">
        <w:rPr>
          <w:rFonts w:ascii="Gill Sans MT" w:eastAsia="Times New Roman" w:hAnsi="Gill Sans MT" w:cs="Times New Roman"/>
          <w:kern w:val="0"/>
          <w14:ligatures w14:val="none"/>
        </w:rPr>
        <w:t>eport the incident to either of the following:</w:t>
      </w:r>
    </w:p>
    <w:p w14:paraId="0DF824D0" w14:textId="6E70350C" w:rsidR="00C75BF7" w:rsidRPr="006E7B6C" w:rsidRDefault="00A17CDD" w:rsidP="00184735">
      <w:pPr>
        <w:pStyle w:val="ListParagraph"/>
        <w:numPr>
          <w:ilvl w:val="3"/>
          <w:numId w:val="14"/>
        </w:numPr>
        <w:shd w:val="clear" w:color="auto" w:fill="FFFFFF"/>
        <w:spacing w:after="120" w:line="240" w:lineRule="auto"/>
        <w:ind w:left="1170" w:right="-274"/>
        <w:contextualSpacing w:val="0"/>
        <w:rPr>
          <w:rFonts w:ascii="Gill Sans MT" w:eastAsia="Times New Roman" w:hAnsi="Gill Sans MT" w:cs="Times New Roman"/>
          <w:i/>
          <w:iCs/>
          <w:kern w:val="0"/>
          <w14:ligatures w14:val="none"/>
        </w:rPr>
      </w:pPr>
      <w:r>
        <w:rPr>
          <w:rFonts w:ascii="Gill Sans MT" w:eastAsia="Times New Roman" w:hAnsi="Gill Sans MT" w:cs="Times New Roman"/>
          <w:kern w:val="0"/>
          <w14:ligatures w14:val="none"/>
        </w:rPr>
        <w:t xml:space="preserve">For general reports of anti-reprocessing conduct: </w:t>
      </w:r>
      <w:r w:rsidR="00C75BF7" w:rsidRPr="00A17CDD">
        <w:rPr>
          <w:rFonts w:ascii="Gill Sans MT" w:eastAsia="Times New Roman" w:hAnsi="Gill Sans MT" w:cs="Times New Roman"/>
          <w:kern w:val="0"/>
          <w14:ligatures w14:val="none"/>
        </w:rPr>
        <w:t xml:space="preserve">Reprocessing Interference </w:t>
      </w:r>
      <w:r w:rsidRPr="00A17CDD">
        <w:rPr>
          <w:rFonts w:ascii="Gill Sans MT" w:eastAsia="Times New Roman" w:hAnsi="Gill Sans MT" w:cs="Times New Roman"/>
          <w:kern w:val="0"/>
          <w14:ligatures w14:val="none"/>
        </w:rPr>
        <w:t xml:space="preserve">Reporting </w:t>
      </w:r>
      <w:r w:rsidR="00C75BF7" w:rsidRPr="00A17CDD">
        <w:rPr>
          <w:rFonts w:ascii="Gill Sans MT" w:eastAsia="Times New Roman" w:hAnsi="Gill Sans MT" w:cs="Times New Roman"/>
          <w:kern w:val="0"/>
          <w14:ligatures w14:val="none"/>
        </w:rPr>
        <w:t>Form</w:t>
      </w:r>
      <w:r w:rsidR="00C75BF7" w:rsidRPr="006E7B6C">
        <w:rPr>
          <w:rFonts w:ascii="Gill Sans MT" w:eastAsia="Times New Roman" w:hAnsi="Gill Sans MT" w:cs="Times New Roman"/>
          <w:i/>
          <w:iCs/>
          <w:kern w:val="0"/>
          <w14:ligatures w14:val="none"/>
        </w:rPr>
        <w:t xml:space="preserve"> </w:t>
      </w:r>
      <w:r w:rsidR="00C75BF7" w:rsidRPr="00184AAA">
        <w:rPr>
          <w:rFonts w:ascii="Gill Sans MT" w:eastAsia="Times New Roman" w:hAnsi="Gill Sans MT" w:cs="Times New Roman"/>
          <w:kern w:val="0"/>
          <w14:ligatures w14:val="none"/>
        </w:rPr>
        <w:t>(</w:t>
      </w:r>
      <w:r w:rsidR="00822C4D">
        <w:rPr>
          <w:rFonts w:ascii="Gill Sans MT" w:eastAsia="Times New Roman" w:hAnsi="Gill Sans MT" w:cs="Times New Roman"/>
          <w:kern w:val="0"/>
          <w14:ligatures w14:val="none"/>
        </w:rPr>
        <w:t xml:space="preserve">see </w:t>
      </w:r>
      <w:hyperlink r:id="rId11" w:history="1">
        <w:r w:rsidR="00C75BF7" w:rsidRPr="00184AAA">
          <w:rPr>
            <w:rStyle w:val="Hyperlink"/>
            <w:rFonts w:ascii="Gill Sans MT" w:eastAsia="Times New Roman" w:hAnsi="Gill Sans MT" w:cs="Times New Roman"/>
            <w:kern w:val="0"/>
            <w14:ligatures w14:val="none"/>
          </w:rPr>
          <w:t>amdr.org</w:t>
        </w:r>
        <w:r w:rsidR="0041770E" w:rsidRPr="00184AAA">
          <w:rPr>
            <w:rStyle w:val="Hyperlink"/>
            <w:rFonts w:ascii="Gill Sans MT" w:eastAsia="Times New Roman" w:hAnsi="Gill Sans MT" w:cs="Times New Roman"/>
            <w:kern w:val="0"/>
            <w14:ligatures w14:val="none"/>
          </w:rPr>
          <w:t>/action-alerts</w:t>
        </w:r>
      </w:hyperlink>
      <w:r w:rsidR="0041770E" w:rsidRPr="00184AAA">
        <w:rPr>
          <w:rFonts w:ascii="Gill Sans MT" w:eastAsia="Times New Roman" w:hAnsi="Gill Sans MT" w:cs="Times New Roman"/>
          <w:kern w:val="0"/>
          <w14:ligatures w14:val="none"/>
        </w:rPr>
        <w:t>)</w:t>
      </w:r>
      <w:r>
        <w:rPr>
          <w:rFonts w:ascii="Gill Sans MT" w:eastAsia="Times New Roman" w:hAnsi="Gill Sans MT" w:cs="Times New Roman"/>
          <w:kern w:val="0"/>
          <w14:ligatures w14:val="none"/>
        </w:rPr>
        <w:t>.</w:t>
      </w:r>
    </w:p>
    <w:p w14:paraId="71B761B8" w14:textId="5ACDEB3A" w:rsidR="00C75BF7" w:rsidRPr="00A17CDD" w:rsidRDefault="00A17CDD" w:rsidP="00184735">
      <w:pPr>
        <w:pStyle w:val="ListParagraph"/>
        <w:numPr>
          <w:ilvl w:val="3"/>
          <w:numId w:val="14"/>
        </w:numPr>
        <w:shd w:val="clear" w:color="auto" w:fill="FFFFFF"/>
        <w:spacing w:after="120" w:line="240" w:lineRule="auto"/>
        <w:ind w:left="1170" w:right="-274"/>
        <w:contextualSpacing w:val="0"/>
        <w:rPr>
          <w:rFonts w:ascii="Gill Sans MT" w:eastAsia="Times New Roman" w:hAnsi="Gill Sans MT" w:cs="Times New Roman"/>
          <w:kern w:val="0"/>
          <w14:ligatures w14:val="none"/>
        </w:rPr>
      </w:pPr>
      <w:r w:rsidRPr="00A17CDD">
        <w:rPr>
          <w:rFonts w:ascii="Gill Sans MT" w:eastAsia="Times New Roman" w:hAnsi="Gill Sans MT" w:cs="Times New Roman"/>
          <w:kern w:val="0"/>
          <w14:ligatures w14:val="none"/>
        </w:rPr>
        <w:t xml:space="preserve">For potential violations of the </w:t>
      </w:r>
      <w:r w:rsidRPr="00A17CDD">
        <w:rPr>
          <w:rFonts w:ascii="Gill Sans MT" w:eastAsia="Times New Roman" w:hAnsi="Gill Sans MT" w:cs="Times New Roman"/>
          <w:i/>
          <w:iCs/>
          <w:kern w:val="0"/>
          <w14:ligatures w14:val="none"/>
        </w:rPr>
        <w:t xml:space="preserve">Innovative Health LLC v. </w:t>
      </w:r>
      <w:proofErr w:type="spellStart"/>
      <w:r w:rsidRPr="00A17CDD">
        <w:rPr>
          <w:rFonts w:ascii="Gill Sans MT" w:eastAsia="Times New Roman" w:hAnsi="Gill Sans MT" w:cs="Times New Roman"/>
          <w:i/>
          <w:iCs/>
          <w:kern w:val="0"/>
          <w14:ligatures w14:val="none"/>
        </w:rPr>
        <w:t>Biosense</w:t>
      </w:r>
      <w:proofErr w:type="spellEnd"/>
      <w:r w:rsidRPr="00A17CDD">
        <w:rPr>
          <w:rFonts w:ascii="Gill Sans MT" w:eastAsia="Times New Roman" w:hAnsi="Gill Sans MT" w:cs="Times New Roman"/>
          <w:i/>
          <w:iCs/>
          <w:kern w:val="0"/>
          <w14:ligatures w14:val="none"/>
        </w:rPr>
        <w:t xml:space="preserve"> Webster, Inc. </w:t>
      </w:r>
      <w:r w:rsidRPr="00A17CDD">
        <w:rPr>
          <w:rFonts w:ascii="Gill Sans MT" w:eastAsia="Times New Roman" w:hAnsi="Gill Sans MT" w:cs="Times New Roman"/>
          <w:kern w:val="0"/>
          <w14:ligatures w14:val="none"/>
        </w:rPr>
        <w:t xml:space="preserve">ruling: </w:t>
      </w:r>
      <w:r>
        <w:rPr>
          <w:rFonts w:ascii="Gill Sans MT" w:eastAsia="Times New Roman" w:hAnsi="Gill Sans MT" w:cs="Times New Roman"/>
          <w:kern w:val="0"/>
          <w14:ligatures w14:val="none"/>
        </w:rPr>
        <w:t xml:space="preserve">AMDR’s Anonymous Reporting </w:t>
      </w:r>
      <w:r w:rsidR="000930E2">
        <w:rPr>
          <w:rFonts w:ascii="Gill Sans MT" w:eastAsia="Times New Roman" w:hAnsi="Gill Sans MT" w:cs="Times New Roman"/>
          <w:kern w:val="0"/>
          <w14:ligatures w14:val="none"/>
        </w:rPr>
        <w:t>Hotline</w:t>
      </w:r>
      <w:r>
        <w:rPr>
          <w:rFonts w:ascii="Gill Sans MT" w:eastAsia="Times New Roman" w:hAnsi="Gill Sans MT" w:cs="Times New Roman"/>
          <w:kern w:val="0"/>
          <w14:ligatures w14:val="none"/>
        </w:rPr>
        <w:t xml:space="preserve"> (</w:t>
      </w:r>
      <w:hyperlink r:id="rId12" w:history="1">
        <w:r w:rsidRPr="00A17CDD">
          <w:rPr>
            <w:rStyle w:val="Hyperlink"/>
            <w:rFonts w:ascii="Gill Sans MT" w:eastAsia="Times New Roman" w:hAnsi="Gill Sans MT" w:cs="Times New Roman"/>
            <w:kern w:val="0"/>
            <w14:ligatures w14:val="none"/>
          </w:rPr>
          <w:t>report.syntrio.com/reprocessing</w:t>
        </w:r>
      </w:hyperlink>
      <w:r w:rsidR="000930E2">
        <w:rPr>
          <w:rFonts w:ascii="Gill Sans MT" w:eastAsia="Times New Roman" w:hAnsi="Gill Sans MT" w:cs="Times New Roman"/>
          <w:kern w:val="0"/>
          <w14:ligatures w14:val="none"/>
        </w:rPr>
        <w:t xml:space="preserve">; </w:t>
      </w:r>
      <w:r w:rsidR="000930E2" w:rsidRPr="000930E2">
        <w:rPr>
          <w:rFonts w:ascii="Gill Sans MT" w:eastAsia="Times New Roman" w:hAnsi="Gill Sans MT" w:cs="Times New Roman"/>
          <w:kern w:val="0"/>
          <w14:ligatures w14:val="none"/>
        </w:rPr>
        <w:t>855-893-7002</w:t>
      </w:r>
      <w:r>
        <w:rPr>
          <w:rFonts w:ascii="Gill Sans MT" w:eastAsia="Times New Roman" w:hAnsi="Gill Sans MT" w:cs="Times New Roman"/>
          <w:kern w:val="0"/>
          <w14:ligatures w14:val="none"/>
        </w:rPr>
        <w:t>).</w:t>
      </w:r>
    </w:p>
    <w:p w14:paraId="7A5B0FFC" w14:textId="3C25E2EE" w:rsidR="00C75BF7" w:rsidRPr="006E7B6C" w:rsidRDefault="00C75BF7" w:rsidP="00184735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ind w:right="-274"/>
        <w:contextualSpacing w:val="0"/>
        <w:rPr>
          <w:rFonts w:ascii="Gill Sans MT" w:eastAsia="Times New Roman" w:hAnsi="Gill Sans MT" w:cs="Times New Roman"/>
          <w:kern w:val="0"/>
          <w14:ligatures w14:val="none"/>
        </w:rPr>
      </w:pPr>
      <w:r w:rsidRPr="006E7B6C">
        <w:rPr>
          <w:rFonts w:ascii="Gill Sans MT" w:eastAsia="Times New Roman" w:hAnsi="Gill Sans MT" w:cs="Times New Roman"/>
          <w:kern w:val="0"/>
          <w14:ligatures w14:val="none"/>
        </w:rPr>
        <w:t>Non-retaliation: Employees reporting in good faith are protected from reprisals.</w:t>
      </w:r>
    </w:p>
    <w:p w14:paraId="1722ECED" w14:textId="77777777" w:rsidR="00AF214A" w:rsidRPr="00F63F25" w:rsidRDefault="00AF214A" w:rsidP="00184735">
      <w:pPr>
        <w:shd w:val="clear" w:color="auto" w:fill="FFFFFF"/>
        <w:spacing w:after="120" w:line="240" w:lineRule="auto"/>
        <w:ind w:right="-274"/>
        <w:rPr>
          <w:rFonts w:ascii="Gill Sans MT" w:eastAsia="Times New Roman" w:hAnsi="Gill Sans MT" w:cs="Times New Roman"/>
          <w:kern w:val="0"/>
          <w14:ligatures w14:val="none"/>
        </w:rPr>
      </w:pPr>
    </w:p>
    <w:p w14:paraId="071780FD" w14:textId="30A0575B" w:rsidR="00F90B19" w:rsidRPr="003C682A" w:rsidRDefault="00AF214A" w:rsidP="00184735">
      <w:pPr>
        <w:shd w:val="clear" w:color="auto" w:fill="FFFFFF"/>
        <w:spacing w:after="120" w:line="240" w:lineRule="auto"/>
        <w:ind w:right="-274"/>
        <w:rPr>
          <w:rFonts w:ascii="Gill Sans MT" w:eastAsia="Times New Roman" w:hAnsi="Gill Sans MT" w:cs="Times New Roman"/>
          <w:b/>
          <w:bCs/>
          <w:kern w:val="0"/>
          <w14:ligatures w14:val="none"/>
        </w:rPr>
      </w:pPr>
      <w:r w:rsidRPr="00AF214A">
        <w:rPr>
          <w:rFonts w:ascii="Gill Sans MT" w:eastAsia="Times New Roman" w:hAnsi="Gill Sans MT" w:cs="Times New Roman"/>
          <w:b/>
          <w:bCs/>
          <w:kern w:val="0"/>
          <w14:ligatures w14:val="none"/>
        </w:rPr>
        <w:t>Signatures</w:t>
      </w:r>
    </w:p>
    <w:p w14:paraId="2E08570B" w14:textId="77777777" w:rsidR="0041770E" w:rsidRPr="0041770E" w:rsidRDefault="0041770E" w:rsidP="00184735">
      <w:pPr>
        <w:shd w:val="clear" w:color="auto" w:fill="FFFFFF"/>
        <w:spacing w:after="120" w:line="240" w:lineRule="auto"/>
        <w:ind w:right="-274"/>
        <w:rPr>
          <w:rFonts w:ascii="Gill Sans MT" w:hAnsi="Gill Sans MT"/>
        </w:rPr>
      </w:pPr>
      <w:r w:rsidRPr="0041770E">
        <w:rPr>
          <w:rFonts w:ascii="Gill Sans MT" w:hAnsi="Gill Sans MT"/>
        </w:rPr>
        <w:t xml:space="preserve">_________________________        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41770E">
        <w:rPr>
          <w:rFonts w:ascii="Gill Sans MT" w:hAnsi="Gill Sans MT"/>
        </w:rPr>
        <w:t>_________________________</w:t>
      </w:r>
    </w:p>
    <w:p w14:paraId="48779EED" w14:textId="57DBD7CB" w:rsidR="0041770E" w:rsidRPr="00F90B19" w:rsidRDefault="0041770E" w:rsidP="00184735">
      <w:pPr>
        <w:shd w:val="clear" w:color="auto" w:fill="FFFFFF"/>
        <w:spacing w:after="120" w:line="240" w:lineRule="auto"/>
        <w:ind w:right="-274"/>
        <w:rPr>
          <w:rFonts w:ascii="Gill Sans MT" w:hAnsi="Gill Sans MT"/>
        </w:rPr>
      </w:pPr>
      <w:r>
        <w:rPr>
          <w:rFonts w:ascii="Gill Sans MT" w:hAnsi="Gill Sans MT"/>
        </w:rPr>
        <w:t>[</w:t>
      </w:r>
      <w:r w:rsidRPr="0041770E">
        <w:rPr>
          <w:rFonts w:ascii="Gill Sans MT" w:hAnsi="Gill Sans MT"/>
        </w:rPr>
        <w:t xml:space="preserve">President, CEO, or </w:t>
      </w:r>
      <w:r w:rsidR="0017357A">
        <w:rPr>
          <w:rFonts w:ascii="Gill Sans MT" w:hAnsi="Gill Sans MT"/>
        </w:rPr>
        <w:t xml:space="preserve">other </w:t>
      </w:r>
      <w:r w:rsidRPr="0041770E">
        <w:rPr>
          <w:rFonts w:ascii="Gill Sans MT" w:hAnsi="Gill Sans MT"/>
        </w:rPr>
        <w:t xml:space="preserve">C-Suite </w:t>
      </w:r>
      <w:r w:rsidR="0017357A">
        <w:rPr>
          <w:rFonts w:ascii="Gill Sans MT" w:hAnsi="Gill Sans MT"/>
        </w:rPr>
        <w:t>Equivalent</w:t>
      </w:r>
      <w:r>
        <w:rPr>
          <w:rFonts w:ascii="Gill Sans MT" w:hAnsi="Gill Sans MT"/>
        </w:rPr>
        <w:t>]</w:t>
      </w:r>
      <w:r w:rsidR="0017357A">
        <w:rPr>
          <w:rFonts w:ascii="Gill Sans MT" w:hAnsi="Gill Sans MT"/>
        </w:rPr>
        <w:tab/>
      </w:r>
      <w:r w:rsidR="0017357A">
        <w:rPr>
          <w:rFonts w:ascii="Gill Sans MT" w:hAnsi="Gill Sans MT"/>
        </w:rPr>
        <w:tab/>
      </w:r>
      <w:r>
        <w:rPr>
          <w:rFonts w:ascii="Gill Sans MT" w:hAnsi="Gill Sans MT"/>
        </w:rPr>
        <w:t>[</w:t>
      </w:r>
      <w:r w:rsidR="008B5C63">
        <w:rPr>
          <w:rFonts w:ascii="Gill Sans MT" w:hAnsi="Gill Sans MT"/>
        </w:rPr>
        <w:t>Chief Medical Officer or</w:t>
      </w:r>
      <w:r w:rsidR="0017357A" w:rsidRPr="0041770E">
        <w:rPr>
          <w:rFonts w:ascii="Gill Sans MT" w:hAnsi="Gill Sans MT"/>
        </w:rPr>
        <w:t xml:space="preserve"> </w:t>
      </w:r>
      <w:r w:rsidR="0017357A">
        <w:rPr>
          <w:rFonts w:ascii="Gill Sans MT" w:hAnsi="Gill Sans MT"/>
        </w:rPr>
        <w:t>equivalent</w:t>
      </w:r>
      <w:r>
        <w:rPr>
          <w:rFonts w:ascii="Gill Sans MT" w:hAnsi="Gill Sans MT"/>
        </w:rPr>
        <w:t>]</w:t>
      </w:r>
      <w:r w:rsidR="00184735">
        <w:rPr>
          <w:rFonts w:ascii="Gill Sans MT" w:hAnsi="Gill Sans MT"/>
        </w:rPr>
        <w:br/>
      </w:r>
      <w:r w:rsidRPr="0041770E">
        <w:rPr>
          <w:rFonts w:ascii="Gill Sans MT" w:hAnsi="Gill Sans MT"/>
        </w:rPr>
        <w:t xml:space="preserve">Date:                       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41770E">
        <w:rPr>
          <w:rFonts w:ascii="Gill Sans MT" w:hAnsi="Gill Sans MT"/>
        </w:rPr>
        <w:t>Date:</w:t>
      </w:r>
    </w:p>
    <w:p w14:paraId="469D205E" w14:textId="5DC39C66" w:rsidR="0041770E" w:rsidRPr="0041770E" w:rsidRDefault="0041770E" w:rsidP="00184735">
      <w:pPr>
        <w:shd w:val="clear" w:color="auto" w:fill="FFFFFF"/>
        <w:spacing w:after="120" w:line="240" w:lineRule="auto"/>
        <w:ind w:right="-274"/>
        <w:rPr>
          <w:rFonts w:ascii="Gill Sans MT" w:hAnsi="Gill Sans MT"/>
        </w:rPr>
      </w:pPr>
      <w:r w:rsidRPr="0041770E">
        <w:rPr>
          <w:rFonts w:ascii="Gill Sans MT" w:hAnsi="Gill Sans MT"/>
        </w:rPr>
        <w:t xml:space="preserve">_________________________        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41770E">
        <w:rPr>
          <w:rFonts w:ascii="Gill Sans MT" w:hAnsi="Gill Sans MT"/>
        </w:rPr>
        <w:t>_________________________</w:t>
      </w:r>
    </w:p>
    <w:p w14:paraId="6F5152EF" w14:textId="17B274B4" w:rsidR="0041770E" w:rsidRPr="00F90B19" w:rsidRDefault="0041770E" w:rsidP="00184735">
      <w:pPr>
        <w:shd w:val="clear" w:color="auto" w:fill="FFFFFF"/>
        <w:spacing w:after="120" w:line="240" w:lineRule="auto"/>
        <w:ind w:right="-274"/>
        <w:rPr>
          <w:rFonts w:ascii="Gill Sans MT" w:hAnsi="Gill Sans MT"/>
        </w:rPr>
      </w:pPr>
      <w:r>
        <w:rPr>
          <w:rFonts w:ascii="Gill Sans MT" w:hAnsi="Gill Sans MT"/>
        </w:rPr>
        <w:t xml:space="preserve">[Chief </w:t>
      </w:r>
      <w:r w:rsidRPr="0041770E">
        <w:rPr>
          <w:rFonts w:ascii="Gill Sans MT" w:hAnsi="Gill Sans MT"/>
        </w:rPr>
        <w:t>Supply Chain Officer</w:t>
      </w:r>
      <w:r w:rsidR="0017357A">
        <w:rPr>
          <w:rFonts w:ascii="Gill Sans MT" w:hAnsi="Gill Sans MT"/>
        </w:rPr>
        <w:t xml:space="preserve"> or equivalent</w:t>
      </w:r>
      <w:r>
        <w:rPr>
          <w:rFonts w:ascii="Gill Sans MT" w:hAnsi="Gill Sans MT"/>
        </w:rPr>
        <w:t>]</w:t>
      </w:r>
      <w:r w:rsidR="0017357A">
        <w:rPr>
          <w:rFonts w:ascii="Gill Sans MT" w:hAnsi="Gill Sans MT"/>
        </w:rPr>
        <w:tab/>
      </w:r>
      <w:r w:rsidR="0017357A">
        <w:rPr>
          <w:rFonts w:ascii="Gill Sans MT" w:hAnsi="Gill Sans MT"/>
        </w:rPr>
        <w:tab/>
      </w:r>
      <w:r>
        <w:rPr>
          <w:rFonts w:ascii="Gill Sans MT" w:hAnsi="Gill Sans MT"/>
        </w:rPr>
        <w:t xml:space="preserve">[Chief </w:t>
      </w:r>
      <w:r w:rsidRPr="0041770E">
        <w:rPr>
          <w:rFonts w:ascii="Gill Sans MT" w:hAnsi="Gill Sans MT"/>
        </w:rPr>
        <w:t>Sustainability Officer</w:t>
      </w:r>
      <w:r w:rsidR="0017357A">
        <w:rPr>
          <w:rFonts w:ascii="Gill Sans MT" w:hAnsi="Gill Sans MT"/>
        </w:rPr>
        <w:t xml:space="preserve"> or equivalent</w:t>
      </w:r>
      <w:r>
        <w:rPr>
          <w:rFonts w:ascii="Gill Sans MT" w:hAnsi="Gill Sans MT"/>
        </w:rPr>
        <w:t>]</w:t>
      </w:r>
      <w:r w:rsidR="00184735">
        <w:rPr>
          <w:rFonts w:ascii="Gill Sans MT" w:hAnsi="Gill Sans MT"/>
        </w:rPr>
        <w:br/>
      </w:r>
      <w:r w:rsidRPr="0041770E">
        <w:rPr>
          <w:rFonts w:ascii="Gill Sans MT" w:hAnsi="Gill Sans MT"/>
        </w:rPr>
        <w:t xml:space="preserve">Date:                       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41770E">
        <w:rPr>
          <w:rFonts w:ascii="Gill Sans MT" w:hAnsi="Gill Sans MT"/>
        </w:rPr>
        <w:t>Date:</w:t>
      </w:r>
    </w:p>
    <w:sectPr w:rsidR="0041770E" w:rsidRPr="00F90B19" w:rsidSect="003C682A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C9A3A" w14:textId="77777777" w:rsidR="00516811" w:rsidRDefault="00516811" w:rsidP="003C682A">
      <w:pPr>
        <w:spacing w:after="0" w:line="240" w:lineRule="auto"/>
      </w:pPr>
      <w:r>
        <w:separator/>
      </w:r>
    </w:p>
  </w:endnote>
  <w:endnote w:type="continuationSeparator" w:id="0">
    <w:p w14:paraId="3A4CC748" w14:textId="77777777" w:rsidR="00516811" w:rsidRDefault="00516811" w:rsidP="003C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1E8A1" w14:textId="77777777" w:rsidR="00516811" w:rsidRDefault="00516811" w:rsidP="003C682A">
      <w:pPr>
        <w:spacing w:after="0" w:line="240" w:lineRule="auto"/>
      </w:pPr>
      <w:r>
        <w:separator/>
      </w:r>
    </w:p>
  </w:footnote>
  <w:footnote w:type="continuationSeparator" w:id="0">
    <w:p w14:paraId="46AD3EE6" w14:textId="77777777" w:rsidR="00516811" w:rsidRDefault="00516811" w:rsidP="003C6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7D96"/>
    <w:multiLevelType w:val="hybridMultilevel"/>
    <w:tmpl w:val="CB88C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6D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213241"/>
    <w:multiLevelType w:val="multilevel"/>
    <w:tmpl w:val="B5EC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61C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AC36F4"/>
    <w:multiLevelType w:val="multilevel"/>
    <w:tmpl w:val="710A0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  <w:rPr>
        <w:i w:val="0"/>
        <w:iCs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DF61153"/>
    <w:multiLevelType w:val="multilevel"/>
    <w:tmpl w:val="A3487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544434"/>
    <w:multiLevelType w:val="multilevel"/>
    <w:tmpl w:val="6602B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4146ED"/>
    <w:multiLevelType w:val="multilevel"/>
    <w:tmpl w:val="DF9E3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3C5BCD"/>
    <w:multiLevelType w:val="multilevel"/>
    <w:tmpl w:val="6602B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775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B951D6"/>
    <w:multiLevelType w:val="hybridMultilevel"/>
    <w:tmpl w:val="CB88C8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E35B1A"/>
    <w:multiLevelType w:val="hybridMultilevel"/>
    <w:tmpl w:val="77A0A6AA"/>
    <w:lvl w:ilvl="0" w:tplc="31FC0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47B03"/>
    <w:multiLevelType w:val="multilevel"/>
    <w:tmpl w:val="DF9E3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18495C"/>
    <w:multiLevelType w:val="multilevel"/>
    <w:tmpl w:val="710A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  <w:rPr>
        <w:i w:val="0"/>
        <w:i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DD029B"/>
    <w:multiLevelType w:val="multilevel"/>
    <w:tmpl w:val="2FF07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501B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807E64"/>
    <w:multiLevelType w:val="hybridMultilevel"/>
    <w:tmpl w:val="A7B2EB4C"/>
    <w:lvl w:ilvl="0" w:tplc="D92AA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F3DDA"/>
    <w:multiLevelType w:val="multilevel"/>
    <w:tmpl w:val="2F72A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1E60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F0371E"/>
    <w:multiLevelType w:val="multilevel"/>
    <w:tmpl w:val="F76EC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5965512">
    <w:abstractNumId w:val="8"/>
  </w:num>
  <w:num w:numId="2" w16cid:durableId="818958017">
    <w:abstractNumId w:val="11"/>
  </w:num>
  <w:num w:numId="3" w16cid:durableId="308025698">
    <w:abstractNumId w:val="16"/>
  </w:num>
  <w:num w:numId="4" w16cid:durableId="1516924710">
    <w:abstractNumId w:val="19"/>
  </w:num>
  <w:num w:numId="5" w16cid:durableId="726494994">
    <w:abstractNumId w:val="2"/>
  </w:num>
  <w:num w:numId="6" w16cid:durableId="2080054093">
    <w:abstractNumId w:val="0"/>
  </w:num>
  <w:num w:numId="7" w16cid:durableId="1656756886">
    <w:abstractNumId w:val="6"/>
  </w:num>
  <w:num w:numId="8" w16cid:durableId="1455253125">
    <w:abstractNumId w:val="10"/>
  </w:num>
  <w:num w:numId="9" w16cid:durableId="467170135">
    <w:abstractNumId w:val="14"/>
  </w:num>
  <w:num w:numId="10" w16cid:durableId="920875558">
    <w:abstractNumId w:val="7"/>
  </w:num>
  <w:num w:numId="11" w16cid:durableId="1836647181">
    <w:abstractNumId w:val="12"/>
  </w:num>
  <w:num w:numId="12" w16cid:durableId="22487313">
    <w:abstractNumId w:val="13"/>
  </w:num>
  <w:num w:numId="13" w16cid:durableId="615722037">
    <w:abstractNumId w:val="4"/>
  </w:num>
  <w:num w:numId="14" w16cid:durableId="694892524">
    <w:abstractNumId w:val="5"/>
  </w:num>
  <w:num w:numId="15" w16cid:durableId="1067722864">
    <w:abstractNumId w:val="18"/>
  </w:num>
  <w:num w:numId="16" w16cid:durableId="554702520">
    <w:abstractNumId w:val="15"/>
  </w:num>
  <w:num w:numId="17" w16cid:durableId="2045014393">
    <w:abstractNumId w:val="3"/>
  </w:num>
  <w:num w:numId="18" w16cid:durableId="1659576528">
    <w:abstractNumId w:val="1"/>
  </w:num>
  <w:num w:numId="19" w16cid:durableId="365720941">
    <w:abstractNumId w:val="9"/>
  </w:num>
  <w:num w:numId="20" w16cid:durableId="10601759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6F"/>
    <w:rsid w:val="00030325"/>
    <w:rsid w:val="000930E2"/>
    <w:rsid w:val="00095B3E"/>
    <w:rsid w:val="000D309D"/>
    <w:rsid w:val="00106C17"/>
    <w:rsid w:val="00155AE6"/>
    <w:rsid w:val="0017357A"/>
    <w:rsid w:val="00184735"/>
    <w:rsid w:val="00184AAA"/>
    <w:rsid w:val="00257CD4"/>
    <w:rsid w:val="002A5A6F"/>
    <w:rsid w:val="00364330"/>
    <w:rsid w:val="003B46D2"/>
    <w:rsid w:val="003C603F"/>
    <w:rsid w:val="003C682A"/>
    <w:rsid w:val="003F315C"/>
    <w:rsid w:val="0041770E"/>
    <w:rsid w:val="00435EDA"/>
    <w:rsid w:val="004903C5"/>
    <w:rsid w:val="00494117"/>
    <w:rsid w:val="004F0119"/>
    <w:rsid w:val="0050198E"/>
    <w:rsid w:val="00516811"/>
    <w:rsid w:val="00517877"/>
    <w:rsid w:val="00556CE8"/>
    <w:rsid w:val="00582EB9"/>
    <w:rsid w:val="005D0434"/>
    <w:rsid w:val="005E2DF7"/>
    <w:rsid w:val="005E30E7"/>
    <w:rsid w:val="00614AA0"/>
    <w:rsid w:val="00616769"/>
    <w:rsid w:val="006C15F6"/>
    <w:rsid w:val="006E7B6C"/>
    <w:rsid w:val="007641CD"/>
    <w:rsid w:val="00777F72"/>
    <w:rsid w:val="008211E6"/>
    <w:rsid w:val="00822C4D"/>
    <w:rsid w:val="00834FD3"/>
    <w:rsid w:val="00873CCD"/>
    <w:rsid w:val="008846AC"/>
    <w:rsid w:val="008B5C63"/>
    <w:rsid w:val="00952573"/>
    <w:rsid w:val="009843A6"/>
    <w:rsid w:val="009C16B3"/>
    <w:rsid w:val="00A17CDD"/>
    <w:rsid w:val="00A22085"/>
    <w:rsid w:val="00A311D0"/>
    <w:rsid w:val="00AE6319"/>
    <w:rsid w:val="00AF214A"/>
    <w:rsid w:val="00B56DC1"/>
    <w:rsid w:val="00C75BF7"/>
    <w:rsid w:val="00CA5104"/>
    <w:rsid w:val="00CD0AFB"/>
    <w:rsid w:val="00D03E6C"/>
    <w:rsid w:val="00D54037"/>
    <w:rsid w:val="00DC7358"/>
    <w:rsid w:val="00DD7A00"/>
    <w:rsid w:val="00DF48AD"/>
    <w:rsid w:val="00E0478F"/>
    <w:rsid w:val="00E150B5"/>
    <w:rsid w:val="00E56748"/>
    <w:rsid w:val="00EB3DAB"/>
    <w:rsid w:val="00F63F25"/>
    <w:rsid w:val="00F90B19"/>
    <w:rsid w:val="00FC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1B8D"/>
  <w15:chartTrackingRefBased/>
  <w15:docId w15:val="{5E3626EF-8C40-49C9-8A8C-B1AC0E48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A6F"/>
  </w:style>
  <w:style w:type="paragraph" w:styleId="Heading1">
    <w:name w:val="heading 1"/>
    <w:basedOn w:val="Normal"/>
    <w:next w:val="Normal"/>
    <w:link w:val="Heading1Char"/>
    <w:uiPriority w:val="9"/>
    <w:qFormat/>
    <w:rsid w:val="002A5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A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A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A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A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A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A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A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A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A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A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A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A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A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A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A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A6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03E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03E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E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E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6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51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1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6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82A"/>
  </w:style>
  <w:style w:type="paragraph" w:styleId="Footer">
    <w:name w:val="footer"/>
    <w:basedOn w:val="Normal"/>
    <w:link w:val="FooterChar"/>
    <w:uiPriority w:val="99"/>
    <w:unhideWhenUsed/>
    <w:rsid w:val="003C6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82A"/>
  </w:style>
  <w:style w:type="character" w:styleId="FollowedHyperlink">
    <w:name w:val="FollowedHyperlink"/>
    <w:basedOn w:val="DefaultParagraphFont"/>
    <w:uiPriority w:val="99"/>
    <w:semiHidden/>
    <w:unhideWhenUsed/>
    <w:rsid w:val="00582EB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port.syntrio.com/reprocess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dr.org/action-aler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mdr.org/courtca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dr.org/courtcas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7FA2-97EF-4163-88BA-FF6116CD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Sheon</dc:creator>
  <cp:keywords/>
  <dc:description/>
  <cp:lastModifiedBy>Nathan S</cp:lastModifiedBy>
  <cp:revision>2</cp:revision>
  <cp:lastPrinted>2024-08-06T14:46:00Z</cp:lastPrinted>
  <dcterms:created xsi:type="dcterms:W3CDTF">2025-09-24T22:28:00Z</dcterms:created>
  <dcterms:modified xsi:type="dcterms:W3CDTF">2025-09-24T22:28:00Z</dcterms:modified>
</cp:coreProperties>
</file>